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20" w:rsidRPr="0012700B" w:rsidRDefault="00612120" w:rsidP="00664910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2700B">
        <w:rPr>
          <w:rFonts w:eastAsia="Calibri"/>
          <w:b/>
          <w:bCs/>
          <w:sz w:val="28"/>
          <w:szCs w:val="28"/>
          <w:lang w:eastAsia="en-US"/>
        </w:rPr>
        <w:t xml:space="preserve">Аналитическая записка </w:t>
      </w:r>
    </w:p>
    <w:p w:rsidR="00612120" w:rsidRDefault="00612120" w:rsidP="00664910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2700B">
        <w:rPr>
          <w:rFonts w:eastAsia="Calibri"/>
          <w:b/>
          <w:bCs/>
          <w:sz w:val="28"/>
          <w:szCs w:val="28"/>
          <w:lang w:eastAsia="en-US"/>
        </w:rPr>
        <w:t>о состоянии и проблемах законотворчества</w:t>
      </w:r>
    </w:p>
    <w:p w:rsidR="005A11B8" w:rsidRPr="0012700B" w:rsidRDefault="005A11B8" w:rsidP="00664910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6701" w:type="dxa"/>
        <w:tblInd w:w="108" w:type="dxa"/>
        <w:tblLook w:val="00A0" w:firstRow="1" w:lastRow="0" w:firstColumn="1" w:lastColumn="0" w:noHBand="0" w:noVBand="0"/>
      </w:tblPr>
      <w:tblGrid>
        <w:gridCol w:w="10065"/>
        <w:gridCol w:w="2844"/>
        <w:gridCol w:w="3792"/>
      </w:tblGrid>
      <w:tr w:rsidR="00612120" w:rsidRPr="004933E9" w:rsidTr="002A78A8">
        <w:tc>
          <w:tcPr>
            <w:tcW w:w="10065" w:type="dxa"/>
          </w:tcPr>
          <w:p w:rsidR="00612120" w:rsidRPr="004933E9" w:rsidRDefault="00612120" w:rsidP="004933E9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F4CB2" w:rsidRPr="002A78A8" w:rsidRDefault="00DC631D" w:rsidP="0014051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933E9">
              <w:rPr>
                <w:rFonts w:eastAsia="Calibri"/>
                <w:bCs/>
                <w:sz w:val="28"/>
                <w:szCs w:val="28"/>
                <w:lang w:eastAsia="en-US"/>
              </w:rPr>
              <w:t>№ 1</w:t>
            </w:r>
            <w:r w:rsidR="009B4C07" w:rsidRPr="004933E9">
              <w:rPr>
                <w:rFonts w:eastAsia="Calibri"/>
                <w:bCs/>
                <w:sz w:val="28"/>
                <w:szCs w:val="28"/>
                <w:lang w:eastAsia="en-US"/>
              </w:rPr>
              <w:t>20</w:t>
            </w:r>
            <w:r w:rsidR="004933E9" w:rsidRPr="004933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июнь 2014</w:t>
            </w:r>
          </w:p>
          <w:p w:rsidR="005F781E" w:rsidRPr="004933E9" w:rsidRDefault="004933E9" w:rsidP="004933E9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933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C5168" w:rsidRDefault="006C5168" w:rsidP="00B53451">
            <w:pPr>
              <w:jc w:val="center"/>
              <w:rPr>
                <w:b/>
                <w:sz w:val="28"/>
                <w:szCs w:val="28"/>
              </w:rPr>
            </w:pPr>
          </w:p>
          <w:p w:rsidR="006C5168" w:rsidRPr="004933E9" w:rsidRDefault="006C5168" w:rsidP="006C5168">
            <w:pPr>
              <w:jc w:val="center"/>
              <w:rPr>
                <w:b/>
                <w:sz w:val="28"/>
                <w:szCs w:val="28"/>
              </w:rPr>
            </w:pPr>
            <w:r w:rsidRPr="004933E9">
              <w:rPr>
                <w:b/>
                <w:sz w:val="28"/>
                <w:szCs w:val="28"/>
              </w:rPr>
              <w:t xml:space="preserve">Законопроект о промышленной политике </w:t>
            </w:r>
            <w:r>
              <w:rPr>
                <w:b/>
                <w:sz w:val="28"/>
                <w:szCs w:val="28"/>
              </w:rPr>
              <w:t>внесен</w:t>
            </w:r>
            <w:r w:rsidRPr="004933E9">
              <w:rPr>
                <w:b/>
                <w:sz w:val="28"/>
                <w:szCs w:val="28"/>
              </w:rPr>
              <w:t xml:space="preserve"> в Государственн</w:t>
            </w:r>
            <w:r>
              <w:rPr>
                <w:b/>
                <w:sz w:val="28"/>
                <w:szCs w:val="28"/>
              </w:rPr>
              <w:t>ую</w:t>
            </w:r>
            <w:r w:rsidRPr="004933E9">
              <w:rPr>
                <w:b/>
                <w:sz w:val="28"/>
                <w:szCs w:val="28"/>
              </w:rPr>
              <w:t xml:space="preserve"> Дум</w:t>
            </w:r>
            <w:r>
              <w:rPr>
                <w:b/>
                <w:sz w:val="28"/>
                <w:szCs w:val="28"/>
              </w:rPr>
              <w:t>у</w:t>
            </w:r>
          </w:p>
          <w:p w:rsidR="006C5168" w:rsidRPr="004933E9" w:rsidRDefault="006C5168" w:rsidP="006C5168">
            <w:pPr>
              <w:jc w:val="center"/>
              <w:rPr>
                <w:sz w:val="28"/>
                <w:szCs w:val="28"/>
              </w:rPr>
            </w:pPr>
          </w:p>
          <w:p w:rsidR="006C5168" w:rsidRPr="004933E9" w:rsidRDefault="006C5168" w:rsidP="006C5168">
            <w:pPr>
              <w:ind w:firstLine="709"/>
              <w:jc w:val="both"/>
              <w:rPr>
                <w:rFonts w:eastAsia="ヒラギノ角ゴ Pro W3"/>
                <w:sz w:val="28"/>
                <w:szCs w:val="28"/>
              </w:rPr>
            </w:pPr>
            <w:r w:rsidRPr="004933E9">
              <w:rPr>
                <w:rFonts w:eastAsia="ヒラギノ角ゴ Pro W3"/>
                <w:sz w:val="28"/>
                <w:szCs w:val="28"/>
                <w:lang w:eastAsia="en-US"/>
              </w:rPr>
              <w:t xml:space="preserve">27 июня Правительством РФ в Государственную Думу внесен проект федерального закона № 555597-6 «О промышленной политике в Российской Федерации». </w:t>
            </w:r>
          </w:p>
          <w:p w:rsidR="006C5168" w:rsidRPr="004933E9" w:rsidRDefault="006C5168" w:rsidP="006C5168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33E9">
              <w:rPr>
                <w:sz w:val="28"/>
                <w:szCs w:val="28"/>
              </w:rPr>
              <w:t>Законопроект</w:t>
            </w:r>
            <w:r w:rsidRPr="004933E9">
              <w:rPr>
                <w:rFonts w:eastAsia="Calibri"/>
                <w:sz w:val="28"/>
                <w:szCs w:val="28"/>
                <w:lang w:eastAsia="en-US"/>
              </w:rPr>
              <w:t xml:space="preserve"> носит комплексный характер и предусматривает, в частности, определение ключевых понятий в сфере промышленной политики и промышленной деятельности; прав и обязанностей субъектов общественных отношений, возникающих при формировании и реализации промышленной политики; полномочия государственных органов и органов местного самоуправления при реализации промышленной политики, а также меры стимулирования промышленной деятельности.  </w:t>
            </w:r>
          </w:p>
          <w:p w:rsidR="006C5168" w:rsidRPr="004933E9" w:rsidRDefault="006C5168" w:rsidP="006C5168">
            <w:pPr>
              <w:ind w:firstLine="709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 xml:space="preserve">Наибольший интерес вызывают именно инструменты поддержки отечественной промышленности. Согласно проекту закона стимулирование промышленной деятельности может осуществляться путем предоставления субъектам промышленной деятельности финансовой, информационной и консультационной поддержки, поддержки в области научно-технической и инновационной деятельности, поддержки в области дополнительного профессионального образования работников субъектов промышленной деятельности, поддержки внешнеэкономической деятельности, иных видов поддержки. </w:t>
            </w:r>
          </w:p>
          <w:p w:rsidR="006C5168" w:rsidRPr="004933E9" w:rsidRDefault="006C5168" w:rsidP="006C5168">
            <w:pPr>
              <w:ind w:firstLine="709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 xml:space="preserve">При этом следует отметить, что документ не только сводит в единую эффективную систему существующие меры стимулирования, но и предоставляет новые инструменты поддержки отечественной промышленности. </w:t>
            </w:r>
          </w:p>
          <w:p w:rsidR="006C5168" w:rsidRPr="004933E9" w:rsidRDefault="006C5168" w:rsidP="006C5168">
            <w:pPr>
              <w:ind w:firstLine="709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 xml:space="preserve">В частности, в проекте закона сделан упор на необходимость создания государственных отраслевых фондов поддержки промышленности, с помощью которых появляется возможность влиять на банки, побуждая их снизить процентную ставку кредитования промышленности до 4-5% годовых. </w:t>
            </w:r>
          </w:p>
          <w:p w:rsidR="006C5168" w:rsidRPr="004933E9" w:rsidRDefault="006C5168" w:rsidP="006C5168">
            <w:pPr>
              <w:ind w:firstLine="709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 xml:space="preserve">Необходимо отметить, что при подготовке законопроекта учтены отдельные предложения ТПП РФ. </w:t>
            </w:r>
          </w:p>
          <w:p w:rsidR="006C5168" w:rsidRPr="004933E9" w:rsidRDefault="006C5168" w:rsidP="006C5168">
            <w:pPr>
              <w:ind w:firstLine="709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 xml:space="preserve">Так, в понятие «промышленная инфраструктура» включены объекты транспортной инфраструктуры, необходимые для осуществления промышленной деятельности. В проекте закона теперь урегулированы вопросы заключения специальных инвестиционных контрактов, в соответствии с которыми инвестор </w:t>
            </w:r>
            <w:r w:rsidRPr="004933E9">
              <w:rPr>
                <w:rFonts w:eastAsia="Arial Unicode MS"/>
                <w:sz w:val="28"/>
                <w:szCs w:val="28"/>
              </w:rPr>
              <w:t xml:space="preserve">принимает на себя обязательства по развитию производства промышленной продукции в Российской Федерации. Кроме того, по предложению Палаты в проект закона включены положения о том, что органы государственной власти субъектов Российской Федерации вправе установить дополнительные требования </w:t>
            </w:r>
            <w:r w:rsidRPr="004933E9">
              <w:rPr>
                <w:sz w:val="28"/>
                <w:szCs w:val="28"/>
              </w:rPr>
              <w:t xml:space="preserve">к индустриальным паркам и промышленным кластерам в целях применения к </w:t>
            </w:r>
            <w:r w:rsidRPr="004933E9">
              <w:rPr>
                <w:sz w:val="28"/>
                <w:szCs w:val="28"/>
              </w:rPr>
              <w:lastRenderedPageBreak/>
              <w:t>ним мер поддержки за счет средств региональных бюджетов.</w:t>
            </w:r>
            <w:r w:rsidRPr="004933E9">
              <w:rPr>
                <w:rFonts w:eastAsia="Arial Unicode MS"/>
                <w:sz w:val="28"/>
                <w:szCs w:val="28"/>
              </w:rPr>
              <w:t xml:space="preserve"> </w:t>
            </w:r>
            <w:r w:rsidRPr="004933E9">
              <w:rPr>
                <w:sz w:val="28"/>
                <w:szCs w:val="28"/>
              </w:rPr>
              <w:t xml:space="preserve">    </w:t>
            </w:r>
          </w:p>
          <w:p w:rsidR="006C5168" w:rsidRDefault="006C5168" w:rsidP="006C5168">
            <w:pPr>
              <w:pStyle w:val="ConsPlusNormal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33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закона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разослан</w:t>
            </w:r>
            <w:r w:rsidRPr="004933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системе ТПП РФ для получения по нему замечаний и предложений.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 проекта состоится в период осенней сессии Государственной Думы.</w:t>
            </w:r>
          </w:p>
          <w:p w:rsidR="006C5168" w:rsidRPr="006C5168" w:rsidRDefault="006C5168" w:rsidP="006C5168">
            <w:pPr>
              <w:pStyle w:val="ConsPlusNormal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3451" w:rsidRDefault="00B53451" w:rsidP="00B534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Бизнесу нужны стимулы для расширения горизонтов налогового мониторинга</w:t>
            </w:r>
          </w:p>
          <w:p w:rsidR="00B53451" w:rsidRDefault="00B53451" w:rsidP="00B5345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53451" w:rsidRDefault="00B53451" w:rsidP="00B53451">
            <w:pPr>
              <w:ind w:firstLine="709"/>
              <w:jc w:val="both"/>
              <w:rPr>
                <w:sz w:val="28"/>
                <w:szCs w:val="28"/>
              </w:rPr>
            </w:pPr>
            <w:r w:rsidRPr="007A0895">
              <w:rPr>
                <w:sz w:val="28"/>
                <w:szCs w:val="28"/>
              </w:rPr>
              <w:t>В</w:t>
            </w:r>
            <w:r w:rsidRPr="00522664">
              <w:rPr>
                <w:sz w:val="28"/>
                <w:szCs w:val="28"/>
              </w:rPr>
              <w:t xml:space="preserve"> рамках Санкт-Петербур</w:t>
            </w:r>
            <w:r w:rsidR="00C72B55">
              <w:rPr>
                <w:sz w:val="28"/>
                <w:szCs w:val="28"/>
              </w:rPr>
              <w:t>г</w:t>
            </w:r>
            <w:r w:rsidRPr="00522664">
              <w:rPr>
                <w:sz w:val="28"/>
                <w:szCs w:val="28"/>
              </w:rPr>
              <w:t>ского Международного юридического форума</w:t>
            </w:r>
            <w:r>
              <w:rPr>
                <w:sz w:val="28"/>
                <w:szCs w:val="28"/>
              </w:rPr>
              <w:t>, который состоялся уже в четвертый раз,</w:t>
            </w:r>
            <w:r w:rsidRPr="005226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ФНС России совместно с ТПП РФ провела</w:t>
            </w:r>
            <w:r w:rsidRPr="00522664">
              <w:rPr>
                <w:sz w:val="28"/>
                <w:szCs w:val="28"/>
              </w:rPr>
              <w:t xml:space="preserve"> панельн</w:t>
            </w:r>
            <w:r>
              <w:rPr>
                <w:sz w:val="28"/>
                <w:szCs w:val="28"/>
              </w:rPr>
              <w:t>ую</w:t>
            </w:r>
            <w:r w:rsidRPr="00522664">
              <w:rPr>
                <w:sz w:val="28"/>
                <w:szCs w:val="28"/>
              </w:rPr>
              <w:t xml:space="preserve"> дискусси</w:t>
            </w:r>
            <w:r>
              <w:rPr>
                <w:sz w:val="28"/>
                <w:szCs w:val="28"/>
              </w:rPr>
              <w:t>ю</w:t>
            </w:r>
            <w:r w:rsidRPr="00522664">
              <w:rPr>
                <w:sz w:val="28"/>
                <w:szCs w:val="28"/>
              </w:rPr>
              <w:t xml:space="preserve"> по вопросу «Расширенно</w:t>
            </w:r>
            <w:r w:rsidR="00C72B55">
              <w:rPr>
                <w:sz w:val="28"/>
                <w:szCs w:val="28"/>
              </w:rPr>
              <w:t>е</w:t>
            </w:r>
            <w:r w:rsidRPr="00522664">
              <w:rPr>
                <w:sz w:val="28"/>
                <w:szCs w:val="28"/>
              </w:rPr>
              <w:t xml:space="preserve"> информационно</w:t>
            </w:r>
            <w:r w:rsidR="00C72B55">
              <w:rPr>
                <w:sz w:val="28"/>
                <w:szCs w:val="28"/>
              </w:rPr>
              <w:t>е</w:t>
            </w:r>
            <w:r w:rsidRPr="00522664">
              <w:rPr>
                <w:sz w:val="28"/>
                <w:szCs w:val="28"/>
              </w:rPr>
              <w:t xml:space="preserve"> взаимодействи</w:t>
            </w:r>
            <w:r w:rsidR="00C72B55">
              <w:rPr>
                <w:sz w:val="28"/>
                <w:szCs w:val="28"/>
              </w:rPr>
              <w:t>е</w:t>
            </w:r>
            <w:r w:rsidRPr="00522664">
              <w:rPr>
                <w:sz w:val="28"/>
                <w:szCs w:val="28"/>
              </w:rPr>
              <w:t xml:space="preserve"> как нов</w:t>
            </w:r>
            <w:r w:rsidR="00C72B55">
              <w:rPr>
                <w:sz w:val="28"/>
                <w:szCs w:val="28"/>
              </w:rPr>
              <w:t>ый</w:t>
            </w:r>
            <w:r w:rsidRPr="00522664">
              <w:rPr>
                <w:sz w:val="28"/>
                <w:szCs w:val="28"/>
              </w:rPr>
              <w:t xml:space="preserve"> ви</w:t>
            </w:r>
            <w:r>
              <w:rPr>
                <w:sz w:val="28"/>
                <w:szCs w:val="28"/>
              </w:rPr>
              <w:t xml:space="preserve">д налогового администрирования». </w:t>
            </w:r>
            <w:r w:rsidRPr="00D35864">
              <w:rPr>
                <w:sz w:val="28"/>
                <w:szCs w:val="28"/>
              </w:rPr>
              <w:t xml:space="preserve">Соответствующий </w:t>
            </w:r>
            <w:r w:rsidR="00C72B55">
              <w:rPr>
                <w:sz w:val="28"/>
                <w:szCs w:val="28"/>
              </w:rPr>
              <w:t xml:space="preserve">законопроект № </w:t>
            </w:r>
            <w:r w:rsidR="00C72B55" w:rsidRPr="00C72B55">
              <w:rPr>
                <w:sz w:val="28"/>
                <w:szCs w:val="28"/>
              </w:rPr>
              <w:t>529630-6</w:t>
            </w:r>
            <w:r w:rsidR="00C72B55">
              <w:rPr>
                <w:sz w:val="28"/>
                <w:szCs w:val="28"/>
              </w:rPr>
              <w:t xml:space="preserve"> был принят 1 июля </w:t>
            </w:r>
            <w:proofErr w:type="spellStart"/>
            <w:r w:rsidR="00C72B55">
              <w:rPr>
                <w:sz w:val="28"/>
                <w:szCs w:val="28"/>
              </w:rPr>
              <w:t>т.г</w:t>
            </w:r>
            <w:proofErr w:type="spellEnd"/>
            <w:r w:rsidR="00C72B55">
              <w:rPr>
                <w:sz w:val="28"/>
                <w:szCs w:val="28"/>
              </w:rPr>
              <w:t xml:space="preserve">. в первом чтении </w:t>
            </w:r>
            <w:r w:rsidRPr="00D35864">
              <w:rPr>
                <w:sz w:val="28"/>
                <w:szCs w:val="28"/>
              </w:rPr>
              <w:t>Госдум</w:t>
            </w:r>
            <w:r w:rsidR="00C72B55">
              <w:rPr>
                <w:sz w:val="28"/>
                <w:szCs w:val="28"/>
              </w:rPr>
              <w:t>ой. Он</w:t>
            </w:r>
            <w:r w:rsidRPr="00D35864">
              <w:rPr>
                <w:sz w:val="28"/>
                <w:szCs w:val="28"/>
              </w:rPr>
              <w:t xml:space="preserve"> предусматривает</w:t>
            </w:r>
            <w:r>
              <w:rPr>
                <w:sz w:val="28"/>
                <w:szCs w:val="28"/>
              </w:rPr>
              <w:t xml:space="preserve"> возможность заключени</w:t>
            </w:r>
            <w:r w:rsidR="00C72B5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соглашени</w:t>
            </w:r>
            <w:r w:rsidR="00C72B5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между налогоплательщиком и налоговым орган</w:t>
            </w:r>
            <w:r w:rsidR="00C72B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м, по которому налогоплательщик раскрывает всю бухгалтерскую и иную учетную информацию, взамен в отношении него не проводятся выездные налоговые проверки, а возникающие спорные ситуации разрешаются в ускоренном порядке.</w:t>
            </w:r>
          </w:p>
          <w:p w:rsidR="00C72B55" w:rsidRDefault="00C72B55" w:rsidP="00C72B55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мероприятии приняли участие Директор департамента н</w:t>
            </w:r>
            <w:r w:rsidRPr="0070657A">
              <w:rPr>
                <w:sz w:val="28"/>
                <w:szCs w:val="28"/>
              </w:rPr>
              <w:t>алогового администрирования ОАО «МТС»</w:t>
            </w:r>
            <w:r>
              <w:rPr>
                <w:sz w:val="28"/>
                <w:szCs w:val="28"/>
              </w:rPr>
              <w:t xml:space="preserve"> </w:t>
            </w:r>
            <w:r w:rsidRPr="007A0895">
              <w:rPr>
                <w:sz w:val="28"/>
                <w:szCs w:val="28"/>
              </w:rPr>
              <w:t>Дмитрий Корнев</w:t>
            </w:r>
            <w:r>
              <w:rPr>
                <w:sz w:val="28"/>
                <w:szCs w:val="28"/>
              </w:rPr>
              <w:t xml:space="preserve">, </w:t>
            </w:r>
            <w:r w:rsidRPr="0070657A">
              <w:rPr>
                <w:sz w:val="28"/>
                <w:szCs w:val="28"/>
              </w:rPr>
              <w:t xml:space="preserve">Руководитель практики по вопросам налоговой политики в регионе EMEIA E&amp;Y </w:t>
            </w:r>
            <w:proofErr w:type="spellStart"/>
            <w:r w:rsidRPr="007A0895">
              <w:rPr>
                <w:sz w:val="28"/>
                <w:szCs w:val="28"/>
              </w:rPr>
              <w:t>Либ</w:t>
            </w:r>
            <w:proofErr w:type="spellEnd"/>
            <w:r w:rsidRPr="007A0895">
              <w:rPr>
                <w:sz w:val="28"/>
                <w:szCs w:val="28"/>
              </w:rPr>
              <w:t xml:space="preserve"> Жан-Пьер</w:t>
            </w:r>
            <w:r>
              <w:rPr>
                <w:sz w:val="28"/>
                <w:szCs w:val="28"/>
              </w:rPr>
              <w:t xml:space="preserve">, </w:t>
            </w:r>
            <w:r w:rsidRPr="0070657A">
              <w:rPr>
                <w:sz w:val="28"/>
                <w:szCs w:val="28"/>
              </w:rPr>
              <w:t>Руководитель налоговой и юрид</w:t>
            </w:r>
            <w:r>
              <w:rPr>
                <w:sz w:val="28"/>
                <w:szCs w:val="28"/>
              </w:rPr>
              <w:t>ической практики в СНГ, партнер</w:t>
            </w:r>
            <w:r w:rsidRPr="0070657A">
              <w:rPr>
                <w:sz w:val="28"/>
                <w:szCs w:val="28"/>
              </w:rPr>
              <w:t xml:space="preserve"> E&amp;Y </w:t>
            </w:r>
            <w:proofErr w:type="spellStart"/>
            <w:r w:rsidRPr="007A0895">
              <w:rPr>
                <w:sz w:val="28"/>
                <w:szCs w:val="28"/>
              </w:rPr>
              <w:t>Рейнхардт</w:t>
            </w:r>
            <w:proofErr w:type="spellEnd"/>
            <w:r w:rsidRPr="007A0895">
              <w:rPr>
                <w:sz w:val="28"/>
                <w:szCs w:val="28"/>
              </w:rPr>
              <w:t xml:space="preserve"> Питер</w:t>
            </w:r>
            <w:r>
              <w:rPr>
                <w:sz w:val="28"/>
                <w:szCs w:val="28"/>
              </w:rPr>
              <w:t xml:space="preserve">, </w:t>
            </w:r>
            <w:r w:rsidRPr="0070657A">
              <w:rPr>
                <w:sz w:val="28"/>
                <w:szCs w:val="28"/>
              </w:rPr>
              <w:t xml:space="preserve">Руководитель Глобальной налоговой службы </w:t>
            </w:r>
            <w:proofErr w:type="spellStart"/>
            <w:r w:rsidRPr="0070657A">
              <w:rPr>
                <w:sz w:val="28"/>
                <w:szCs w:val="28"/>
              </w:rPr>
              <w:t>Procter</w:t>
            </w:r>
            <w:proofErr w:type="spellEnd"/>
            <w:r w:rsidRPr="0070657A">
              <w:rPr>
                <w:sz w:val="28"/>
                <w:szCs w:val="28"/>
              </w:rPr>
              <w:t xml:space="preserve"> &amp; </w:t>
            </w:r>
            <w:proofErr w:type="spellStart"/>
            <w:r w:rsidRPr="0070657A">
              <w:rPr>
                <w:sz w:val="28"/>
                <w:szCs w:val="28"/>
              </w:rPr>
              <w:t>Gamble</w:t>
            </w:r>
            <w:proofErr w:type="spellEnd"/>
            <w:r w:rsidRPr="0070657A">
              <w:rPr>
                <w:sz w:val="28"/>
                <w:szCs w:val="28"/>
              </w:rPr>
              <w:t xml:space="preserve"> </w:t>
            </w:r>
            <w:proofErr w:type="spellStart"/>
            <w:r w:rsidRPr="0070657A">
              <w:rPr>
                <w:sz w:val="28"/>
                <w:szCs w:val="28"/>
              </w:rPr>
              <w:t>Company</w:t>
            </w:r>
            <w:proofErr w:type="spellEnd"/>
            <w:r w:rsidRPr="0070657A">
              <w:rPr>
                <w:sz w:val="28"/>
                <w:szCs w:val="28"/>
              </w:rPr>
              <w:t xml:space="preserve"> </w:t>
            </w:r>
            <w:proofErr w:type="spellStart"/>
            <w:r w:rsidRPr="007A0895">
              <w:rPr>
                <w:sz w:val="28"/>
                <w:szCs w:val="28"/>
              </w:rPr>
              <w:t>Фоулер</w:t>
            </w:r>
            <w:proofErr w:type="spellEnd"/>
            <w:r w:rsidRPr="007A0895">
              <w:rPr>
                <w:sz w:val="28"/>
                <w:szCs w:val="28"/>
              </w:rPr>
              <w:t xml:space="preserve"> </w:t>
            </w:r>
            <w:proofErr w:type="spellStart"/>
            <w:r w:rsidRPr="007A0895">
              <w:rPr>
                <w:sz w:val="28"/>
                <w:szCs w:val="28"/>
              </w:rPr>
              <w:t>Тэд</w:t>
            </w:r>
            <w:proofErr w:type="spellEnd"/>
            <w:r>
              <w:rPr>
                <w:sz w:val="28"/>
                <w:szCs w:val="28"/>
              </w:rPr>
              <w:t xml:space="preserve">, а также </w:t>
            </w:r>
            <w:r w:rsidRPr="00AE2161">
              <w:rPr>
                <w:sz w:val="28"/>
                <w:szCs w:val="28"/>
              </w:rPr>
              <w:t>Руководитель Гл</w:t>
            </w:r>
            <w:r>
              <w:rPr>
                <w:sz w:val="28"/>
                <w:szCs w:val="28"/>
              </w:rPr>
              <w:t xml:space="preserve">обальной налоговой службы </w:t>
            </w:r>
            <w:proofErr w:type="spellStart"/>
            <w:r>
              <w:rPr>
                <w:sz w:val="28"/>
                <w:szCs w:val="28"/>
              </w:rPr>
              <w:t>Shell</w:t>
            </w:r>
            <w:proofErr w:type="spellEnd"/>
            <w:r w:rsidRPr="00AE2161">
              <w:rPr>
                <w:sz w:val="28"/>
                <w:szCs w:val="28"/>
              </w:rPr>
              <w:t xml:space="preserve"> </w:t>
            </w:r>
            <w:proofErr w:type="spellStart"/>
            <w:r w:rsidRPr="007A0895">
              <w:rPr>
                <w:sz w:val="28"/>
                <w:szCs w:val="28"/>
              </w:rPr>
              <w:t>Хьюбенс</w:t>
            </w:r>
            <w:proofErr w:type="spellEnd"/>
            <w:r w:rsidRPr="007A0895">
              <w:rPr>
                <w:sz w:val="28"/>
                <w:szCs w:val="28"/>
              </w:rPr>
              <w:t xml:space="preserve"> </w:t>
            </w:r>
            <w:proofErr w:type="spellStart"/>
            <w:r w:rsidRPr="007A0895">
              <w:rPr>
                <w:sz w:val="28"/>
                <w:szCs w:val="28"/>
              </w:rPr>
              <w:t>Вилберт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Представители бизнеса отметили, что данная система позволяет налогоплательщику спланировать налоговые риски, а также решить в режиме реального времени неясные вопросы налогообложения совместно с налоговыми органами. </w:t>
            </w:r>
          </w:p>
          <w:p w:rsidR="00B53451" w:rsidRDefault="00B53451" w:rsidP="00B5345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дискуссии З</w:t>
            </w:r>
            <w:r w:rsidR="006C5168">
              <w:rPr>
                <w:sz w:val="28"/>
                <w:szCs w:val="28"/>
              </w:rPr>
              <w:t>аместитель председателя Экспертного совета ТПП РФ</w:t>
            </w:r>
            <w:r>
              <w:rPr>
                <w:sz w:val="28"/>
                <w:szCs w:val="28"/>
              </w:rPr>
              <w:t xml:space="preserve"> по совершенствованию налогового законодательства </w:t>
            </w:r>
            <w:r w:rsidR="006C5168">
              <w:rPr>
                <w:sz w:val="28"/>
                <w:szCs w:val="28"/>
              </w:rPr>
              <w:t xml:space="preserve">Д.Е. </w:t>
            </w:r>
            <w:r w:rsidRPr="007A0895">
              <w:rPr>
                <w:sz w:val="28"/>
                <w:szCs w:val="28"/>
              </w:rPr>
              <w:t>Фадеев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0951">
              <w:rPr>
                <w:sz w:val="28"/>
                <w:szCs w:val="28"/>
              </w:rPr>
              <w:t>отметил,</w:t>
            </w:r>
            <w:r>
              <w:rPr>
                <w:sz w:val="28"/>
                <w:szCs w:val="28"/>
              </w:rPr>
              <w:t xml:space="preserve"> что </w:t>
            </w:r>
            <w:r w:rsidRPr="00BB0D68">
              <w:rPr>
                <w:sz w:val="28"/>
                <w:szCs w:val="28"/>
              </w:rPr>
              <w:t xml:space="preserve">ТПП РФ первая из крупнейших предпринимательских объединений публично поддержала концепцию проекта закона еще на этапе «нулевого чтения». Была сделана веерная рассылка проекта закона по системе ТПП РФ, </w:t>
            </w:r>
            <w:r>
              <w:rPr>
                <w:sz w:val="28"/>
                <w:szCs w:val="28"/>
              </w:rPr>
              <w:t xml:space="preserve">проводились тематические совещания с представителями различных российских и зарубежных компаний. </w:t>
            </w:r>
          </w:p>
          <w:p w:rsidR="00B53451" w:rsidRPr="00D35864" w:rsidRDefault="00B53451" w:rsidP="00B5345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Палаты отметил, что выработан ряд предложений, которые могут сделать систему горизонтального мониторинга более привлекательной для бизнеса</w:t>
            </w:r>
            <w:r w:rsidRPr="00D35864">
              <w:rPr>
                <w:sz w:val="28"/>
                <w:szCs w:val="28"/>
              </w:rPr>
              <w:t>, а именно:</w:t>
            </w:r>
          </w:p>
          <w:p w:rsidR="00B53451" w:rsidRPr="00D35864" w:rsidRDefault="00B53451" w:rsidP="00B53451">
            <w:pPr>
              <w:ind w:firstLine="709"/>
              <w:jc w:val="both"/>
              <w:rPr>
                <w:sz w:val="28"/>
                <w:szCs w:val="28"/>
              </w:rPr>
            </w:pPr>
            <w:r w:rsidRPr="00D35864">
              <w:rPr>
                <w:sz w:val="28"/>
                <w:szCs w:val="28"/>
              </w:rPr>
              <w:t xml:space="preserve">- распространить возможность применения новой системы налогового администрирования на участников консолидированных групп налогоплательщиков, а также на иностранные компании; </w:t>
            </w:r>
          </w:p>
          <w:p w:rsidR="00B53451" w:rsidRPr="00D35864" w:rsidRDefault="00B53451" w:rsidP="00B53451">
            <w:pPr>
              <w:ind w:firstLine="709"/>
              <w:jc w:val="both"/>
              <w:rPr>
                <w:sz w:val="28"/>
                <w:szCs w:val="28"/>
              </w:rPr>
            </w:pPr>
            <w:r w:rsidRPr="00D35864">
              <w:rPr>
                <w:sz w:val="28"/>
                <w:szCs w:val="28"/>
              </w:rPr>
              <w:t xml:space="preserve">- уточнить порядок входа и выхода, когда «входная проверка» закрыла бы предыдущие периоды, а односторонний выход из соглашения возможен только в случае неисполнения обязательств по нему одной из сторон. </w:t>
            </w:r>
          </w:p>
          <w:p w:rsidR="00B53451" w:rsidRPr="00D35864" w:rsidRDefault="00B53451" w:rsidP="00B53451">
            <w:pPr>
              <w:ind w:firstLine="709"/>
              <w:jc w:val="both"/>
              <w:rPr>
                <w:sz w:val="28"/>
                <w:szCs w:val="28"/>
              </w:rPr>
            </w:pPr>
            <w:r w:rsidRPr="00D35864">
              <w:rPr>
                <w:sz w:val="28"/>
                <w:szCs w:val="28"/>
              </w:rPr>
              <w:lastRenderedPageBreak/>
              <w:t xml:space="preserve">- уточнить соотношение нового порядка налогового администрирования с иными формами контроля, выездной и камеральной проверками, установить правила доступа к данным налогоплательщика, а также распространить на соглашение о расширенном информационном взаимодействии положения о налоговой тайне. </w:t>
            </w:r>
          </w:p>
          <w:p w:rsidR="00B53451" w:rsidRDefault="00B53451" w:rsidP="00B53451">
            <w:pPr>
              <w:ind w:firstLine="709"/>
              <w:jc w:val="both"/>
              <w:rPr>
                <w:sz w:val="28"/>
                <w:szCs w:val="28"/>
              </w:rPr>
            </w:pPr>
            <w:r w:rsidRPr="00BB58A8">
              <w:rPr>
                <w:sz w:val="28"/>
                <w:szCs w:val="28"/>
              </w:rPr>
              <w:t xml:space="preserve">Представители </w:t>
            </w:r>
            <w:r>
              <w:rPr>
                <w:sz w:val="28"/>
                <w:szCs w:val="28"/>
              </w:rPr>
              <w:t>бизнеса</w:t>
            </w:r>
            <w:r w:rsidRPr="00BB58A8">
              <w:rPr>
                <w:sz w:val="28"/>
                <w:szCs w:val="28"/>
              </w:rPr>
              <w:t xml:space="preserve"> отметили, что введение системы расширенного информационного взаимодействия между налогоплательщиками и налоговыми органами это важный шаг в совершенствовании налогового администрирования в целом. Фактически данная система позволяет налогоплательщику спланировать налоговые риски, а также решить в режиме реального времени неясные вопросы налогообложения совместно с налоговыми органами. </w:t>
            </w:r>
            <w:r w:rsidR="00912F03">
              <w:rPr>
                <w:sz w:val="28"/>
                <w:szCs w:val="28"/>
              </w:rPr>
              <w:t>Налоговым органам</w:t>
            </w:r>
            <w:r w:rsidRPr="00BB58A8">
              <w:rPr>
                <w:sz w:val="28"/>
                <w:szCs w:val="28"/>
              </w:rPr>
              <w:t xml:space="preserve"> данный режим позволяет понять специфику ведения конкретного бизнеса и особенности налогообложения, что позволяет строить отношения с налогоплательщиками, основываясь на принципах открытости и взаимности. </w:t>
            </w:r>
            <w:proofErr w:type="gramStart"/>
            <w:r w:rsidRPr="00BB58A8">
              <w:rPr>
                <w:sz w:val="28"/>
                <w:szCs w:val="28"/>
              </w:rPr>
              <w:t>Российские пилотные проекты и мировая практика использования данного института налогового администрирования показали, что налогоплательщикам удалось сократить издержки, связанные не только с налогообложением, но и с разрешением налоговых споров, согласовать ряд важных позиций с налоговыми органами, свести до минимума или вовсе не использовать выездные налоговые проверки и в целом выстроить доверительные отношения с налоговыми органами.</w:t>
            </w:r>
            <w:proofErr w:type="gramEnd"/>
          </w:p>
          <w:p w:rsidR="00B53451" w:rsidRDefault="00B53451" w:rsidP="00B5345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Закрывая мероприятие, </w:t>
            </w:r>
            <w:proofErr w:type="spellStart"/>
            <w:r>
              <w:rPr>
                <w:sz w:val="28"/>
                <w:szCs w:val="28"/>
              </w:rPr>
              <w:t>Замруководителя</w:t>
            </w:r>
            <w:proofErr w:type="spellEnd"/>
            <w:r>
              <w:rPr>
                <w:sz w:val="28"/>
                <w:szCs w:val="28"/>
              </w:rPr>
              <w:t xml:space="preserve"> ФНС России </w:t>
            </w:r>
            <w:r w:rsidRPr="007A0895">
              <w:rPr>
                <w:sz w:val="28"/>
                <w:szCs w:val="28"/>
              </w:rPr>
              <w:t xml:space="preserve">Сергей </w:t>
            </w:r>
            <w:proofErr w:type="spellStart"/>
            <w:r w:rsidRPr="007A0895">
              <w:rPr>
                <w:sz w:val="28"/>
                <w:szCs w:val="28"/>
              </w:rPr>
              <w:t>Аракелов</w:t>
            </w:r>
            <w:proofErr w:type="spellEnd"/>
            <w:r>
              <w:rPr>
                <w:sz w:val="28"/>
                <w:szCs w:val="28"/>
              </w:rPr>
              <w:t xml:space="preserve"> заверил его участников, что представленные предложения будут учтены при доработке законопроекта. В заключении он отметил, что ФНС России будет и в дальнейшем продвигать идеи </w:t>
            </w:r>
            <w:proofErr w:type="spellStart"/>
            <w:r>
              <w:rPr>
                <w:sz w:val="28"/>
                <w:szCs w:val="28"/>
              </w:rPr>
              <w:t>взаимосогласительных</w:t>
            </w:r>
            <w:proofErr w:type="spellEnd"/>
            <w:r>
              <w:rPr>
                <w:sz w:val="28"/>
                <w:szCs w:val="28"/>
              </w:rPr>
              <w:t xml:space="preserve"> процедур для бизнеса, и в качестве следующего шага запланировано развитие концепции налоговой медиации.</w:t>
            </w:r>
          </w:p>
          <w:p w:rsidR="003271F9" w:rsidRPr="003271F9" w:rsidRDefault="003271F9" w:rsidP="006C5168">
            <w:pPr>
              <w:rPr>
                <w:b/>
                <w:sz w:val="28"/>
                <w:szCs w:val="28"/>
              </w:rPr>
            </w:pPr>
          </w:p>
          <w:p w:rsidR="004933E9" w:rsidRPr="004933E9" w:rsidRDefault="004933E9" w:rsidP="004933E9">
            <w:pPr>
              <w:jc w:val="center"/>
              <w:rPr>
                <w:b/>
                <w:sz w:val="28"/>
                <w:szCs w:val="28"/>
              </w:rPr>
            </w:pPr>
            <w:r w:rsidRPr="004933E9">
              <w:rPr>
                <w:b/>
                <w:sz w:val="28"/>
                <w:szCs w:val="28"/>
              </w:rPr>
              <w:t>Стратегическое планирование определит перспективы развития страны</w:t>
            </w:r>
          </w:p>
          <w:p w:rsidR="004933E9" w:rsidRPr="004933E9" w:rsidRDefault="004933E9" w:rsidP="004933E9">
            <w:pPr>
              <w:jc w:val="center"/>
              <w:rPr>
                <w:sz w:val="28"/>
                <w:szCs w:val="28"/>
              </w:rPr>
            </w:pPr>
          </w:p>
          <w:p w:rsidR="004933E9" w:rsidRPr="004933E9" w:rsidRDefault="004933E9" w:rsidP="004933E9">
            <w:pPr>
              <w:ind w:firstLine="720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 xml:space="preserve">Президент России подписал Федеральный закон «О стратегическом планировании в Российской Федерации» (20 июня </w:t>
            </w:r>
            <w:proofErr w:type="gramStart"/>
            <w:r w:rsidRPr="004933E9">
              <w:rPr>
                <w:sz w:val="28"/>
                <w:szCs w:val="28"/>
              </w:rPr>
              <w:t>принят Государственной Думой принят</w:t>
            </w:r>
            <w:proofErr w:type="gramEnd"/>
            <w:r w:rsidRPr="004933E9">
              <w:rPr>
                <w:sz w:val="28"/>
                <w:szCs w:val="28"/>
              </w:rPr>
              <w:t xml:space="preserve"> и 25 июня одобрен Советом Федерации).</w:t>
            </w:r>
          </w:p>
          <w:p w:rsidR="004933E9" w:rsidRPr="004933E9" w:rsidRDefault="004933E9" w:rsidP="004933E9">
            <w:pPr>
              <w:ind w:right="-108" w:firstLine="720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а также полномочия федеральных органов государственной власти, органов государственной власти субъектов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      </w:r>
          </w:p>
          <w:p w:rsidR="004933E9" w:rsidRPr="004933E9" w:rsidRDefault="004933E9" w:rsidP="004933E9">
            <w:pPr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4933E9">
              <w:rPr>
                <w:sz w:val="28"/>
                <w:szCs w:val="28"/>
              </w:rPr>
              <w:t xml:space="preserve">Предусмотренное Законом создание системы государственного стратегического планирования (среднесрочного и долгосрочного) позволит сбалансировать планируемые действия, требующие значительных затрат, с ресурсными и организационными возможностями государства; обозначить долгосрочные ориентиры, позволяющие снизить риски, связанные с </w:t>
            </w:r>
            <w:r w:rsidRPr="004933E9">
              <w:rPr>
                <w:sz w:val="28"/>
                <w:szCs w:val="28"/>
              </w:rPr>
              <w:lastRenderedPageBreak/>
              <w:t>осуществлением целевых программ и инвестиционных проектов.</w:t>
            </w:r>
            <w:proofErr w:type="gramEnd"/>
            <w:r w:rsidRPr="004933E9">
              <w:rPr>
                <w:sz w:val="28"/>
                <w:szCs w:val="28"/>
              </w:rPr>
              <w:t xml:space="preserve"> Стратегическое планирование будет охватывать все уровни управления: федеральный, региональный и местный.</w:t>
            </w:r>
          </w:p>
          <w:p w:rsidR="004933E9" w:rsidRPr="004933E9" w:rsidRDefault="004933E9" w:rsidP="004933E9">
            <w:pPr>
              <w:ind w:firstLine="720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Плановое закрепление приоритетов и целей осуществляется соответственно в стратегии социально-экономического развития на основе прогнозов - научно-технологического, стратегического, социально-экономического развития.</w:t>
            </w:r>
          </w:p>
          <w:p w:rsidR="004933E9" w:rsidRPr="004933E9" w:rsidRDefault="004933E9" w:rsidP="004933E9">
            <w:pPr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4933E9">
              <w:rPr>
                <w:sz w:val="28"/>
                <w:szCs w:val="28"/>
              </w:rPr>
              <w:t>Доработаны нормы (статьи 11 и 13) о разработке и об общественном обсуждении актов стратегического планирования: к разработке документов могут привлекаться, в том числе, общественные, научные и иные организации; введена норма, согласно которой замечания и предложения, поступившие в ходе общественного обсуждения должны будут рассмотрены органами исполнительной власти (органами местного самоуправления), ответственными за разработку документов стратегического планирования.</w:t>
            </w:r>
            <w:proofErr w:type="gramEnd"/>
          </w:p>
          <w:p w:rsidR="004933E9" w:rsidRDefault="004933E9" w:rsidP="004933E9">
            <w:pPr>
              <w:ind w:firstLine="720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ТПП России активно поддержала и сопровождала законопроект: направлялись замечания на стадии «нулевого чтения» до внесения проекта в парламент, заключение в профильный комитет Госдумы, инициированы поправки к законопроекту. Часть предложений Палаты учтено. Так, введен муниципальный уровень планирования и соответственно изменено наименование Закона; предусмотрена ответственность за нарушение законодательства в сфере стратегического планирования, определен переходный период в реализации Закона до января 2017 года.</w:t>
            </w:r>
          </w:p>
          <w:p w:rsidR="004933E9" w:rsidRPr="00831825" w:rsidRDefault="004933E9" w:rsidP="004933E9">
            <w:pPr>
              <w:suppressAutoHyphens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933E9" w:rsidRPr="004933E9" w:rsidRDefault="004933E9" w:rsidP="004933E9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933E9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Особые экономические зоны разделят </w:t>
            </w:r>
            <w:proofErr w:type="gramStart"/>
            <w:r w:rsidRPr="004933E9">
              <w:rPr>
                <w:rFonts w:eastAsia="Calibri"/>
                <w:b/>
                <w:sz w:val="28"/>
                <w:szCs w:val="28"/>
                <w:lang w:eastAsia="en-US"/>
              </w:rPr>
              <w:t>на</w:t>
            </w:r>
            <w:proofErr w:type="gramEnd"/>
            <w:r w:rsidRPr="004933E9">
              <w:rPr>
                <w:rFonts w:eastAsia="Calibri"/>
                <w:b/>
                <w:sz w:val="28"/>
                <w:szCs w:val="28"/>
                <w:lang w:eastAsia="en-US"/>
              </w:rPr>
              <w:t xml:space="preserve"> федеральные и региональные</w:t>
            </w:r>
          </w:p>
          <w:p w:rsidR="004933E9" w:rsidRPr="004933E9" w:rsidRDefault="004933E9" w:rsidP="004933E9">
            <w:pPr>
              <w:suppressAutoHyphens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933E9" w:rsidRDefault="004933E9" w:rsidP="004933E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4933E9">
              <w:rPr>
                <w:rFonts w:eastAsia="Calibri"/>
                <w:sz w:val="28"/>
                <w:szCs w:val="28"/>
                <w:lang w:eastAsia="en-US"/>
              </w:rPr>
              <w:t xml:space="preserve">3 июня Правительством РФ внесен в Государственную Думу проект федерального закона № 538033-6 «О внесении изменений в Федеральный закон «Об особых экономических зонах в Российской Федерации» и отдельные законодательные акты отдельные законодательные акты Российской Федерации» (в части </w:t>
            </w:r>
            <w:r w:rsidRPr="004933E9">
              <w:rPr>
                <w:sz w:val="28"/>
                <w:szCs w:val="28"/>
              </w:rPr>
              <w:t>совершенствования механизма функционирования и управления особыми экономическими зонами).</w:t>
            </w:r>
          </w:p>
          <w:p w:rsidR="004933E9" w:rsidRDefault="004933E9" w:rsidP="004933E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Проект предусматривает разделение особых экономических зон (далее – ОЭЗ) на федеральные и региональные, порядок их создания, функционирования, объемы льгот и преференций.</w:t>
            </w:r>
          </w:p>
          <w:p w:rsidR="004933E9" w:rsidRDefault="004933E9" w:rsidP="004933E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 xml:space="preserve">Кроме того, законодательно закрепляются понятия промышленных (индустриальных) парков, технопарков, агропромышленных парков, туристических парков, которые представляют собой формы региональных ОЭЗ. </w:t>
            </w:r>
          </w:p>
          <w:p w:rsidR="004933E9" w:rsidRDefault="004933E9" w:rsidP="004933E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Согласно законопроекту, промышленно-производственные, технико-внедренческие, туристско-рекреационные и портовые типы зон будут объединены в федеральные ОЭЗ, которые могут заключать с резидентами соглашения на любые разрешенные виды деятельности.</w:t>
            </w:r>
          </w:p>
          <w:p w:rsidR="004933E9" w:rsidRPr="004933E9" w:rsidRDefault="004933E9" w:rsidP="004933E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4933E9">
              <w:rPr>
                <w:sz w:val="28"/>
                <w:szCs w:val="28"/>
              </w:rPr>
              <w:t xml:space="preserve">Для развития инфраструктуры в региональных ОЭЗ проектом закона предлагается ввести механизм отложенных платежей (TIF), который предусматривает возможность строительства объектов инфраструктуры за счет </w:t>
            </w:r>
            <w:r w:rsidRPr="004933E9">
              <w:rPr>
                <w:sz w:val="28"/>
                <w:szCs w:val="28"/>
              </w:rPr>
              <w:lastRenderedPageBreak/>
              <w:t>средств инвесторов с компенсацией таких расходов за счет налоговых поступлений в федеральный бюджет от резидентов ОЭЗ.</w:t>
            </w:r>
            <w:proofErr w:type="gramEnd"/>
          </w:p>
          <w:p w:rsidR="004933E9" w:rsidRPr="004933E9" w:rsidRDefault="004933E9" w:rsidP="004933E9">
            <w:pPr>
              <w:ind w:firstLine="709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По мнению разработчиков, предлагаемые изменения в законодательство позволят повысить инвестиционную привлекательность и эффективность функционирования особых экономических зон, увеличить количество их резидентов, снизить бюджетные расходы на строительство объектов таможенной инфраструктуры.</w:t>
            </w:r>
          </w:p>
          <w:p w:rsidR="004933E9" w:rsidRPr="004933E9" w:rsidRDefault="004933E9" w:rsidP="004933E9">
            <w:pPr>
              <w:ind w:firstLine="709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Проект закона разослан по системе ТПП РФ для получения замечаний и предложений.</w:t>
            </w:r>
          </w:p>
          <w:p w:rsidR="004933E9" w:rsidRPr="004933E9" w:rsidRDefault="004933E9" w:rsidP="004933E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933E9" w:rsidRPr="004933E9" w:rsidRDefault="004933E9" w:rsidP="004933E9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4933E9">
              <w:rPr>
                <w:b/>
                <w:sz w:val="28"/>
                <w:szCs w:val="28"/>
              </w:rPr>
              <w:t>ФАС за легализацию параллельного импорта</w:t>
            </w:r>
          </w:p>
          <w:p w:rsidR="004933E9" w:rsidRPr="004933E9" w:rsidRDefault="004933E9" w:rsidP="004933E9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933E9" w:rsidRPr="004933E9" w:rsidRDefault="004933E9" w:rsidP="004933E9">
            <w:pPr>
              <w:shd w:val="clear" w:color="auto" w:fill="FFFFFF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ФАС России доработала законопроект о легализации в Российской Федерации параллельного импорта.  По ее мнению, запрет параллельного импорта, установленный статьей 1487 ГК РФ, приводит к ограничению конкуренции между продавцами товаров, защищенных товарным знаком, удорожанию данных товаров, увеличению сроков ожидания потребителями запасных частей к данным товарам, если они являются сложными техническими изделиями.</w:t>
            </w:r>
          </w:p>
          <w:p w:rsidR="004933E9" w:rsidRPr="004933E9" w:rsidRDefault="004933E9" w:rsidP="004933E9">
            <w:pPr>
              <w:shd w:val="clear" w:color="auto" w:fill="FFFFFF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В законопроекте предлагается исключить из статьи 1487 ГК РФ указание на возможность импорта товаров, защищенных товарным знаком, только в том случае, если правообладатель дал специальное согласие на их импорт на территорию России. Таким образом, в случае принятия поправок  импорт данных товаров в Россию будет возможен независимо от места их введения в оборот.</w:t>
            </w:r>
          </w:p>
          <w:p w:rsidR="004933E9" w:rsidRPr="004933E9" w:rsidRDefault="004933E9" w:rsidP="004933E9">
            <w:pPr>
              <w:shd w:val="clear" w:color="auto" w:fill="FFFFFF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Правообладатель сможет запрещать или ограничивать импорт в Россию товаров, введенных в оборот за пределами России, лишь при условии, что в России им будет локализовано производство взаимозаменяемых товаров.</w:t>
            </w:r>
          </w:p>
          <w:p w:rsidR="00610B3F" w:rsidRDefault="004933E9" w:rsidP="006C5168">
            <w:pPr>
              <w:shd w:val="clear" w:color="auto" w:fill="FFFFFF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Предусматривается, что прое</w:t>
            </w:r>
            <w:proofErr w:type="gramStart"/>
            <w:r w:rsidRPr="004933E9">
              <w:rPr>
                <w:sz w:val="28"/>
                <w:szCs w:val="28"/>
              </w:rPr>
              <w:t>кт вст</w:t>
            </w:r>
            <w:proofErr w:type="gramEnd"/>
            <w:r w:rsidRPr="004933E9">
              <w:rPr>
                <w:sz w:val="28"/>
                <w:szCs w:val="28"/>
              </w:rPr>
              <w:t>упит в силу с 1 января 2020 года. При этом Правительство РФ сможет определить отдельные виды и группы товаров, в отношении которых параллельный импорт будет разрешен раньше указанной даты.</w:t>
            </w:r>
            <w:r w:rsidR="006C5168">
              <w:rPr>
                <w:sz w:val="28"/>
                <w:szCs w:val="28"/>
              </w:rPr>
              <w:t xml:space="preserve"> </w:t>
            </w:r>
            <w:r w:rsidRPr="004933E9">
              <w:rPr>
                <w:sz w:val="28"/>
                <w:szCs w:val="28"/>
              </w:rPr>
              <w:t>Проблема параллельного импорта неоднократно становилась предметом обсуждения предпринимательского сообщества. При этом представителями ведущих отраслевых ассоциаций</w:t>
            </w:r>
            <w:r w:rsidR="00610B3F">
              <w:rPr>
                <w:sz w:val="28"/>
                <w:szCs w:val="28"/>
              </w:rPr>
              <w:t>, являющихся членами Торгово-промышленной палаты РФ,</w:t>
            </w:r>
            <w:r w:rsidRPr="004933E9">
              <w:rPr>
                <w:sz w:val="28"/>
                <w:szCs w:val="28"/>
              </w:rPr>
              <w:t xml:space="preserve"> была выработана позиция, согласно которой переход России к международному принципу исчерпания исключительных прав является преждевременной мерой.</w:t>
            </w:r>
            <w:r w:rsidR="00610B3F">
              <w:rPr>
                <w:sz w:val="28"/>
                <w:szCs w:val="28"/>
              </w:rPr>
              <w:t xml:space="preserve"> </w:t>
            </w:r>
          </w:p>
          <w:p w:rsidR="004933E9" w:rsidRPr="004933E9" w:rsidRDefault="00610B3F" w:rsidP="004933E9">
            <w:pPr>
              <w:shd w:val="clear" w:color="auto" w:fill="FFFFFF"/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Планируется разослать законопроект по системе ТПП РФ. </w:t>
            </w:r>
            <w:r w:rsidR="004933E9" w:rsidRPr="004933E9">
              <w:rPr>
                <w:sz w:val="28"/>
                <w:szCs w:val="28"/>
              </w:rPr>
              <w:t xml:space="preserve"> </w:t>
            </w:r>
          </w:p>
          <w:p w:rsidR="004933E9" w:rsidRPr="004933E9" w:rsidRDefault="004933E9" w:rsidP="004933E9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</w:p>
          <w:p w:rsidR="004933E9" w:rsidRPr="004933E9" w:rsidRDefault="00547E43" w:rsidP="004933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</w:t>
            </w:r>
            <w:r w:rsidR="004933E9" w:rsidRPr="004933E9">
              <w:rPr>
                <w:b/>
                <w:sz w:val="28"/>
                <w:szCs w:val="28"/>
              </w:rPr>
              <w:t>онтрол</w:t>
            </w:r>
            <w:r>
              <w:rPr>
                <w:b/>
                <w:sz w:val="28"/>
                <w:szCs w:val="28"/>
              </w:rPr>
              <w:t>ь</w:t>
            </w:r>
            <w:r w:rsidR="004933E9" w:rsidRPr="004933E9">
              <w:rPr>
                <w:b/>
                <w:sz w:val="28"/>
                <w:szCs w:val="28"/>
              </w:rPr>
              <w:t xml:space="preserve"> за</w:t>
            </w:r>
            <w:proofErr w:type="gramEnd"/>
            <w:r w:rsidR="004933E9" w:rsidRPr="004933E9">
              <w:rPr>
                <w:b/>
                <w:sz w:val="28"/>
                <w:szCs w:val="28"/>
              </w:rPr>
              <w:t xml:space="preserve"> оборотом драгоценных металлов и драгоценных камней </w:t>
            </w:r>
            <w:r>
              <w:rPr>
                <w:b/>
                <w:sz w:val="28"/>
                <w:szCs w:val="28"/>
              </w:rPr>
              <w:t>будет усилен</w:t>
            </w:r>
          </w:p>
          <w:p w:rsidR="004933E9" w:rsidRPr="004933E9" w:rsidRDefault="004933E9" w:rsidP="004933E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4933E9" w:rsidRPr="004933E9" w:rsidRDefault="004933E9" w:rsidP="004933E9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4933E9">
              <w:rPr>
                <w:sz w:val="28"/>
                <w:szCs w:val="28"/>
              </w:rPr>
              <w:t>2 июня 2014 года Государственная Дума приняла в первом чтении законопроект №</w:t>
            </w:r>
            <w:r w:rsidR="002A78A8">
              <w:rPr>
                <w:sz w:val="28"/>
                <w:szCs w:val="28"/>
                <w:lang w:val="en-US"/>
              </w:rPr>
              <w:t> </w:t>
            </w:r>
            <w:r w:rsidRPr="004933E9">
              <w:rPr>
                <w:sz w:val="28"/>
                <w:szCs w:val="28"/>
              </w:rPr>
              <w:t xml:space="preserve">504864-6 «О внесении изменений   в  отдельные   законодательные  акты  Российской Федерации» (о совершенствовании </w:t>
            </w:r>
            <w:r w:rsidRPr="004933E9">
              <w:rPr>
                <w:sz w:val="28"/>
                <w:szCs w:val="28"/>
              </w:rPr>
              <w:lastRenderedPageBreak/>
              <w:t>нормативно-правового регулирования в сфере  производства, переработки и обращения драгоценных металлов и драгоценных камней) и связанный с ним законопроект № 504875-6 «О внесении изменений в часть вторую Налогового кодекса Российской Федерации в связи с внесением изменений в Федеральный закон</w:t>
            </w:r>
            <w:proofErr w:type="gramEnd"/>
            <w:r w:rsidRPr="004933E9">
              <w:rPr>
                <w:sz w:val="28"/>
                <w:szCs w:val="28"/>
              </w:rPr>
              <w:t xml:space="preserve"> «О драгоценных металлах и драгоценных камнях»</w:t>
            </w:r>
            <w:r w:rsidRPr="004933E9">
              <w:rPr>
                <w:sz w:val="28"/>
                <w:szCs w:val="28"/>
              </w:rPr>
              <w:br/>
              <w:t>(в части уточнения терминологии норм, регулирующих взимание государственной пошлины за совершение действий уполномоченными государственными учреждениями при осуществлении федерального пробирного надзора). По основному законопроекту у Палаты, отраслевого предпринимательского сообщества имеется ряд принципиальных замечаний, которые предлагаем учесть при его доработке ко 2 чтению:</w:t>
            </w:r>
          </w:p>
          <w:p w:rsidR="004933E9" w:rsidRPr="004933E9" w:rsidRDefault="004933E9" w:rsidP="004933E9">
            <w:pPr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ab/>
              <w:t xml:space="preserve">1. </w:t>
            </w:r>
            <w:proofErr w:type="gramStart"/>
            <w:r w:rsidRPr="004933E9">
              <w:rPr>
                <w:sz w:val="28"/>
                <w:szCs w:val="28"/>
              </w:rPr>
              <w:t>При установлении особенностей организации и проведения проверок в рамках федерального государственного пробирного надзора законопроект необоснованно расширяет круг вопросов, которые согласно части 4 статьи 1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 могут устанавливаться специальными федеральными законами, в частности:</w:t>
            </w:r>
            <w:proofErr w:type="gramEnd"/>
          </w:p>
          <w:p w:rsidR="004933E9" w:rsidRPr="004933E9" w:rsidRDefault="004933E9" w:rsidP="004933E9">
            <w:pPr>
              <w:ind w:firstLine="708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 xml:space="preserve">- основанием для проведения внеплановой проверки без согласования с органами прокуратуры предлагается считать поступление обращений об угрозе причинения вреда </w:t>
            </w:r>
            <w:r w:rsidRPr="004933E9">
              <w:rPr>
                <w:b/>
                <w:sz w:val="28"/>
                <w:szCs w:val="28"/>
              </w:rPr>
              <w:t>имуществу физических и юридических лиц, государственному или муниципальному имуществу;</w:t>
            </w:r>
          </w:p>
          <w:p w:rsidR="004933E9" w:rsidRPr="004933E9" w:rsidRDefault="004933E9" w:rsidP="004933E9">
            <w:pPr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ab/>
              <w:t xml:space="preserve">- по результатам проведения проверки должностные лица наделяются правом выдавать предписания </w:t>
            </w:r>
            <w:r w:rsidRPr="004933E9">
              <w:rPr>
                <w:b/>
                <w:sz w:val="28"/>
                <w:szCs w:val="28"/>
              </w:rPr>
              <w:t>о проведении конкретных мероприятий по обеспечению предотвращения вреда, связанного с выявленными нарушениями</w:t>
            </w:r>
            <w:r w:rsidRPr="004933E9">
              <w:rPr>
                <w:sz w:val="28"/>
                <w:szCs w:val="28"/>
              </w:rPr>
              <w:t>.</w:t>
            </w:r>
          </w:p>
          <w:p w:rsidR="004933E9" w:rsidRPr="004933E9" w:rsidRDefault="004933E9" w:rsidP="004933E9">
            <w:pPr>
              <w:ind w:firstLine="708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В целях приведения законопроекта в соответствие с Законом № 294-ФЗ предлагается исключить эти положения.</w:t>
            </w:r>
          </w:p>
          <w:p w:rsidR="004933E9" w:rsidRPr="004933E9" w:rsidRDefault="004933E9" w:rsidP="004933E9">
            <w:pPr>
              <w:ind w:firstLine="708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 xml:space="preserve">2. </w:t>
            </w:r>
            <w:r w:rsidR="004505B3">
              <w:rPr>
                <w:sz w:val="28"/>
                <w:szCs w:val="28"/>
              </w:rPr>
              <w:t>Необходимо к</w:t>
            </w:r>
            <w:r w:rsidRPr="004933E9">
              <w:rPr>
                <w:sz w:val="28"/>
                <w:szCs w:val="28"/>
              </w:rPr>
              <w:t>онкретизировать круг видов деятельности в области добычи, производства, использования и обращения драгоценных металлов и драгоценных камней, на которые целесообразно распространить действие федерального государственного пробирного надзора.</w:t>
            </w:r>
          </w:p>
          <w:p w:rsidR="004933E9" w:rsidRPr="004933E9" w:rsidRDefault="004933E9" w:rsidP="004933E9">
            <w:pPr>
              <w:ind w:firstLine="708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 xml:space="preserve">3.  Клеймение государственным пробирным клеймом ювелирных и других бытовых изделий отечественного производства, произведенных на экспорт,  </w:t>
            </w:r>
            <w:r w:rsidR="004505B3">
              <w:rPr>
                <w:sz w:val="28"/>
                <w:szCs w:val="28"/>
              </w:rPr>
              <w:t xml:space="preserve">следует </w:t>
            </w:r>
            <w:bookmarkStart w:id="0" w:name="_GoBack"/>
            <w:bookmarkEnd w:id="0"/>
            <w:r w:rsidRPr="004933E9">
              <w:rPr>
                <w:sz w:val="28"/>
                <w:szCs w:val="28"/>
              </w:rPr>
              <w:t xml:space="preserve">производить на добровольной основе. Ввести обязательное наличие </w:t>
            </w:r>
            <w:proofErr w:type="spellStart"/>
            <w:r w:rsidRPr="004933E9">
              <w:rPr>
                <w:sz w:val="28"/>
                <w:szCs w:val="28"/>
              </w:rPr>
              <w:t>именника</w:t>
            </w:r>
            <w:proofErr w:type="spellEnd"/>
            <w:r w:rsidRPr="004933E9">
              <w:rPr>
                <w:sz w:val="28"/>
                <w:szCs w:val="28"/>
              </w:rPr>
              <w:t xml:space="preserve"> (клейма) импортера не только для российских ювелирных изделий, но и для импортируемых ювелирных изделий.</w:t>
            </w:r>
          </w:p>
          <w:p w:rsidR="004933E9" w:rsidRPr="004933E9" w:rsidRDefault="00831825" w:rsidP="004933E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33E9" w:rsidRPr="004933E9">
              <w:rPr>
                <w:sz w:val="28"/>
                <w:szCs w:val="28"/>
              </w:rPr>
              <w:t xml:space="preserve">. </w:t>
            </w:r>
            <w:proofErr w:type="gramStart"/>
            <w:r w:rsidR="004933E9" w:rsidRPr="004933E9">
              <w:rPr>
                <w:sz w:val="28"/>
                <w:szCs w:val="28"/>
              </w:rPr>
              <w:t xml:space="preserve">Предусмотреть отмену ограничений на производство ювелирных изделий других проб, отличных от разрешенных, не отвечающих требованиям рынка, в </w:t>
            </w:r>
            <w:proofErr w:type="spellStart"/>
            <w:r w:rsidR="004933E9" w:rsidRPr="004933E9">
              <w:rPr>
                <w:sz w:val="28"/>
                <w:szCs w:val="28"/>
              </w:rPr>
              <w:t>т.ч</w:t>
            </w:r>
            <w:proofErr w:type="spellEnd"/>
            <w:r w:rsidR="004933E9" w:rsidRPr="004933E9">
              <w:rPr>
                <w:sz w:val="28"/>
                <w:szCs w:val="28"/>
              </w:rPr>
              <w:t>. при поставках ювелирной продукции на экспорт.</w:t>
            </w:r>
            <w:proofErr w:type="gramEnd"/>
          </w:p>
          <w:p w:rsidR="004933E9" w:rsidRPr="004933E9" w:rsidRDefault="00831825" w:rsidP="004933E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33E9" w:rsidRPr="004933E9">
              <w:rPr>
                <w:sz w:val="28"/>
                <w:szCs w:val="28"/>
              </w:rPr>
              <w:t xml:space="preserve">. Отменить требование об обязательной транспортировке спецтранспортом в сопровождении вооруженной охраны для драгоценных металлов, драгоценных камней и продукции их них, находящихся в </w:t>
            </w:r>
            <w:r w:rsidR="004933E9" w:rsidRPr="004933E9">
              <w:rPr>
                <w:sz w:val="28"/>
                <w:szCs w:val="28"/>
              </w:rPr>
              <w:lastRenderedPageBreak/>
              <w:t>собственности негосударственных компаний.</w:t>
            </w:r>
          </w:p>
          <w:p w:rsidR="004933E9" w:rsidRPr="004933E9" w:rsidRDefault="00831825" w:rsidP="004933E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933E9" w:rsidRPr="004933E9">
              <w:rPr>
                <w:sz w:val="28"/>
                <w:szCs w:val="28"/>
              </w:rPr>
              <w:t>редложения ТПП РФ по  законопроекту направлены в профильный комитет Государственной Думы и Экспертный совет по вопросам развития отрасли драгоценных металлов и драгоценных камней, образованный при Комитете Совета Федерации по экономической политике.</w:t>
            </w:r>
          </w:p>
          <w:p w:rsidR="004933E9" w:rsidRPr="004933E9" w:rsidRDefault="004933E9" w:rsidP="004933E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B93A02" w:rsidRPr="00B93A02" w:rsidRDefault="00B93A02" w:rsidP="00B93A0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3A02">
              <w:rPr>
                <w:b/>
                <w:sz w:val="28"/>
                <w:szCs w:val="28"/>
              </w:rPr>
              <w:t xml:space="preserve">Для работодателей с численностью работников до 15 человек предлагается упростить регулирование трудовых отношений </w:t>
            </w:r>
          </w:p>
          <w:p w:rsidR="00B93A02" w:rsidRDefault="00B93A02" w:rsidP="00B93A02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AC245D" w:rsidRPr="004933E9" w:rsidRDefault="00AC245D" w:rsidP="00AC245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4933E9">
              <w:rPr>
                <w:sz w:val="28"/>
                <w:szCs w:val="28"/>
              </w:rPr>
              <w:t xml:space="preserve">Минтрудом России </w:t>
            </w:r>
            <w:r w:rsidRPr="00AD37A7">
              <w:rPr>
                <w:sz w:val="28"/>
                <w:szCs w:val="28"/>
              </w:rPr>
              <w:t>в соответствии с п</w:t>
            </w:r>
            <w:r w:rsidRPr="004933E9">
              <w:rPr>
                <w:sz w:val="28"/>
                <w:szCs w:val="28"/>
              </w:rPr>
              <w:t>унктом 12 приложения №</w:t>
            </w:r>
            <w:r w:rsidRPr="00AD37A7">
              <w:rPr>
                <w:sz w:val="28"/>
                <w:szCs w:val="28"/>
              </w:rPr>
              <w:t> </w:t>
            </w:r>
            <w:r w:rsidRPr="004933E9">
              <w:rPr>
                <w:sz w:val="28"/>
                <w:szCs w:val="28"/>
              </w:rPr>
              <w:t>2 к Государственной программе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г. № 316, разработан проект федерального закона «О внесении изменений в Трудовой кодекс Российской Федерации»</w:t>
            </w:r>
            <w:r w:rsidRPr="00E374A3">
              <w:rPr>
                <w:sz w:val="28"/>
                <w:szCs w:val="28"/>
              </w:rPr>
              <w:t xml:space="preserve"> (в части особенностей регулирования труда лиц, работающих у работодателей - субъектов малого</w:t>
            </w:r>
            <w:r w:rsidRPr="00AD37A7">
              <w:rPr>
                <w:sz w:val="28"/>
                <w:szCs w:val="28"/>
              </w:rPr>
              <w:t xml:space="preserve"> </w:t>
            </w:r>
            <w:r w:rsidRPr="00292460">
              <w:rPr>
                <w:sz w:val="28"/>
                <w:szCs w:val="28"/>
              </w:rPr>
              <w:t>и среднего предпринимательства</w:t>
            </w:r>
            <w:r w:rsidRPr="00E374A3">
              <w:rPr>
                <w:sz w:val="28"/>
                <w:szCs w:val="28"/>
              </w:rPr>
              <w:t>, средняя численность работников которых</w:t>
            </w:r>
            <w:proofErr w:type="gramEnd"/>
            <w:r w:rsidRPr="00E374A3">
              <w:rPr>
                <w:sz w:val="28"/>
                <w:szCs w:val="28"/>
              </w:rPr>
              <w:t xml:space="preserve"> не превышает 15 человек)</w:t>
            </w:r>
            <w:r>
              <w:rPr>
                <w:sz w:val="28"/>
                <w:szCs w:val="28"/>
              </w:rPr>
              <w:t>. Законопроект</w:t>
            </w:r>
            <w:r w:rsidRPr="004933E9">
              <w:rPr>
                <w:sz w:val="28"/>
                <w:szCs w:val="28"/>
              </w:rPr>
              <w:t xml:space="preserve"> </w:t>
            </w:r>
            <w:r w:rsidRPr="00AD37A7">
              <w:rPr>
                <w:sz w:val="28"/>
                <w:szCs w:val="28"/>
              </w:rPr>
              <w:t xml:space="preserve">предусматривает упрощенный порядок регулирования трудовых отношений для лиц, работающих у </w:t>
            </w:r>
            <w:r w:rsidRPr="004933E9">
              <w:rPr>
                <w:sz w:val="28"/>
                <w:szCs w:val="28"/>
              </w:rPr>
              <w:t>работодателей</w:t>
            </w:r>
            <w:r>
              <w:rPr>
                <w:sz w:val="28"/>
                <w:szCs w:val="28"/>
              </w:rPr>
              <w:t xml:space="preserve">, являющихся индивидуальными предпринимателями, и </w:t>
            </w:r>
            <w:r w:rsidRPr="00AD37A7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 xml:space="preserve">работодателей – организаций, относящихся к категориям </w:t>
            </w:r>
            <w:r w:rsidRPr="004933E9">
              <w:rPr>
                <w:sz w:val="28"/>
                <w:szCs w:val="28"/>
              </w:rPr>
              <w:t>субъектов малого и среднего предпринимательства</w:t>
            </w:r>
            <w:r>
              <w:rPr>
                <w:sz w:val="28"/>
                <w:szCs w:val="28"/>
              </w:rPr>
              <w:t>. С</w:t>
            </w:r>
            <w:r w:rsidRPr="004933E9">
              <w:rPr>
                <w:sz w:val="28"/>
                <w:szCs w:val="28"/>
              </w:rPr>
              <w:t>редняя численность работников</w:t>
            </w:r>
            <w:r w:rsidRPr="00AD37A7">
              <w:rPr>
                <w:sz w:val="28"/>
                <w:szCs w:val="28"/>
              </w:rPr>
              <w:t xml:space="preserve"> за календарный год у </w:t>
            </w:r>
            <w:r>
              <w:rPr>
                <w:sz w:val="28"/>
                <w:szCs w:val="28"/>
              </w:rPr>
              <w:t>таких работодателей</w:t>
            </w:r>
            <w:r w:rsidRPr="004933E9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 xml:space="preserve"> должна</w:t>
            </w:r>
            <w:r w:rsidRPr="004933E9">
              <w:rPr>
                <w:sz w:val="28"/>
                <w:szCs w:val="28"/>
              </w:rPr>
              <w:t xml:space="preserve"> превышат</w:t>
            </w:r>
            <w:r>
              <w:rPr>
                <w:sz w:val="28"/>
                <w:szCs w:val="28"/>
              </w:rPr>
              <w:t>ь 15 человек.</w:t>
            </w:r>
          </w:p>
          <w:p w:rsidR="00AC245D" w:rsidRPr="004933E9" w:rsidRDefault="00AC245D" w:rsidP="00AC245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AD37A7">
              <w:rPr>
                <w:sz w:val="28"/>
                <w:szCs w:val="28"/>
              </w:rPr>
              <w:t xml:space="preserve">В соответствии с законопроектом </w:t>
            </w:r>
            <w:r w:rsidRPr="004933E9">
              <w:rPr>
                <w:sz w:val="28"/>
                <w:szCs w:val="28"/>
              </w:rPr>
              <w:t>предлагает</w:t>
            </w:r>
            <w:r w:rsidRPr="00AD37A7">
              <w:rPr>
                <w:sz w:val="28"/>
                <w:szCs w:val="28"/>
              </w:rPr>
              <w:t>ся</w:t>
            </w:r>
            <w:r w:rsidRPr="004933E9">
              <w:rPr>
                <w:sz w:val="28"/>
                <w:szCs w:val="28"/>
              </w:rPr>
              <w:t xml:space="preserve"> предоставить возможность</w:t>
            </w:r>
            <w:r>
              <w:rPr>
                <w:sz w:val="28"/>
                <w:szCs w:val="28"/>
              </w:rPr>
              <w:t xml:space="preserve"> </w:t>
            </w:r>
            <w:r w:rsidRPr="004933E9">
              <w:rPr>
                <w:sz w:val="28"/>
                <w:szCs w:val="28"/>
              </w:rPr>
              <w:t>основную часть положений, связанных с трудовыми отношениями, устанавливать непосредственно трудовым договором</w:t>
            </w:r>
            <w:r>
              <w:rPr>
                <w:sz w:val="28"/>
                <w:szCs w:val="28"/>
              </w:rPr>
              <w:t>, п</w:t>
            </w:r>
            <w:r w:rsidRPr="004933E9">
              <w:rPr>
                <w:sz w:val="28"/>
                <w:szCs w:val="28"/>
              </w:rPr>
              <w:t xml:space="preserve">римерная форма </w:t>
            </w:r>
            <w:r>
              <w:rPr>
                <w:sz w:val="28"/>
                <w:szCs w:val="28"/>
              </w:rPr>
              <w:t>которого</w:t>
            </w:r>
            <w:r w:rsidRPr="004933E9">
              <w:rPr>
                <w:sz w:val="28"/>
                <w:szCs w:val="28"/>
              </w:rPr>
              <w:t xml:space="preserve"> будет утверждаться Минтрудом России.</w:t>
            </w:r>
          </w:p>
          <w:p w:rsidR="00AC245D" w:rsidRPr="004933E9" w:rsidRDefault="00AC245D" w:rsidP="00AC245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Особенности регулирования труда работников,</w:t>
            </w:r>
            <w:r w:rsidRPr="00AD37A7">
              <w:rPr>
                <w:sz w:val="28"/>
                <w:szCs w:val="28"/>
              </w:rPr>
              <w:t xml:space="preserve"> занятых у таких работодателей</w:t>
            </w:r>
            <w:r w:rsidRPr="004933E9">
              <w:rPr>
                <w:sz w:val="28"/>
                <w:szCs w:val="28"/>
              </w:rPr>
              <w:t xml:space="preserve"> должны предусматривать:  </w:t>
            </w:r>
          </w:p>
          <w:p w:rsidR="00AC245D" w:rsidRPr="004933E9" w:rsidRDefault="00AC245D" w:rsidP="00AC245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AD37A7">
              <w:rPr>
                <w:sz w:val="28"/>
                <w:szCs w:val="28"/>
              </w:rPr>
              <w:t>право работодателя не принимать локальные нормативные акты, содержащие нормы трудового права, положения которых должны быть включены в трудовой договор;</w:t>
            </w:r>
          </w:p>
          <w:p w:rsidR="00AC245D" w:rsidRPr="004933E9" w:rsidRDefault="00AC245D" w:rsidP="00AC245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сведения о работе у работодателя по соглашению сторон трудового договора могут не вноситься в трудовую книжку, а при заключении трудового договора впервые трудовая книжка работнику может не оформляться;</w:t>
            </w:r>
          </w:p>
          <w:p w:rsidR="00AC245D" w:rsidRPr="004933E9" w:rsidRDefault="00AC245D" w:rsidP="00AC245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трудовым договором могут определ</w:t>
            </w:r>
            <w:r>
              <w:rPr>
                <w:sz w:val="28"/>
                <w:szCs w:val="28"/>
              </w:rPr>
              <w:t>яться</w:t>
            </w:r>
            <w:r w:rsidRPr="004933E9">
              <w:rPr>
                <w:sz w:val="28"/>
                <w:szCs w:val="28"/>
              </w:rPr>
              <w:t xml:space="preserve"> дополнительные основания прекращения трудового договора, а также порядок и условия предоставления работникам гарантий и компенсаций, связанных с таким увольнением;</w:t>
            </w:r>
          </w:p>
          <w:p w:rsidR="00AC245D" w:rsidRPr="004933E9" w:rsidRDefault="00AC245D" w:rsidP="00AC245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>дополнительные отпуска с сохранением среднего заработка, иные гарантии и компенсации работникам, совмещающим работу с получением образования, могут предоставляться в порядке, установленном локальными нормативными актами, трудовым договором или ученическим договором;</w:t>
            </w:r>
          </w:p>
          <w:p w:rsidR="00AC245D" w:rsidRPr="004933E9" w:rsidRDefault="00AC245D" w:rsidP="00AC245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4933E9">
              <w:rPr>
                <w:sz w:val="28"/>
                <w:szCs w:val="28"/>
              </w:rPr>
              <w:t xml:space="preserve">при расторжении трудового договора в связи с ликвидацией организации либо сокращением численности или штата выплату увольняемому работнику выходного пособия в размере не менее среднего месячного заработка. При этом </w:t>
            </w:r>
            <w:r w:rsidRPr="004933E9">
              <w:rPr>
                <w:sz w:val="28"/>
                <w:szCs w:val="28"/>
              </w:rPr>
              <w:lastRenderedPageBreak/>
              <w:t>требование о сохранении за работником среднего месячного заработка на период трудоустройства не устанавливается.</w:t>
            </w:r>
          </w:p>
          <w:p w:rsidR="00690367" w:rsidRPr="004933E9" w:rsidRDefault="00AC245D" w:rsidP="00374573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4933E9">
              <w:rPr>
                <w:sz w:val="28"/>
                <w:szCs w:val="28"/>
              </w:rPr>
              <w:t xml:space="preserve">о мнению Палаты, </w:t>
            </w:r>
            <w:r>
              <w:rPr>
                <w:sz w:val="28"/>
                <w:szCs w:val="28"/>
              </w:rPr>
              <w:t>следует уточнить положения</w:t>
            </w:r>
            <w:r w:rsidRPr="00E374A3">
              <w:rPr>
                <w:sz w:val="28"/>
                <w:szCs w:val="28"/>
              </w:rPr>
              <w:t xml:space="preserve"> законопроект</w:t>
            </w:r>
            <w:r>
              <w:rPr>
                <w:sz w:val="28"/>
                <w:szCs w:val="28"/>
              </w:rPr>
              <w:t xml:space="preserve">а об отнесении работодателей-организаций, </w:t>
            </w:r>
            <w:r w:rsidRPr="00E374A3">
              <w:rPr>
                <w:sz w:val="28"/>
                <w:szCs w:val="28"/>
              </w:rPr>
              <w:t>средн</w:t>
            </w:r>
            <w:r>
              <w:rPr>
                <w:sz w:val="28"/>
                <w:szCs w:val="28"/>
              </w:rPr>
              <w:t>яя</w:t>
            </w:r>
            <w:r w:rsidRPr="00E374A3">
              <w:rPr>
                <w:sz w:val="28"/>
                <w:szCs w:val="28"/>
              </w:rPr>
              <w:t xml:space="preserve"> численност</w:t>
            </w:r>
            <w:r>
              <w:rPr>
                <w:sz w:val="28"/>
                <w:szCs w:val="28"/>
              </w:rPr>
              <w:t>ь</w:t>
            </w:r>
            <w:r w:rsidRPr="00E374A3">
              <w:rPr>
                <w:sz w:val="28"/>
                <w:szCs w:val="28"/>
              </w:rPr>
              <w:t xml:space="preserve"> работников </w:t>
            </w:r>
            <w:r>
              <w:rPr>
                <w:sz w:val="28"/>
                <w:szCs w:val="28"/>
              </w:rPr>
              <w:t xml:space="preserve">которых составляет до </w:t>
            </w:r>
            <w:r w:rsidRPr="00E374A3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 xml:space="preserve">человек, к категории субъектов среднего предпринимательства. Это связано с тем, что </w:t>
            </w:r>
            <w:r w:rsidRPr="00E374A3">
              <w:rPr>
                <w:sz w:val="28"/>
                <w:szCs w:val="28"/>
              </w:rPr>
              <w:t xml:space="preserve">Федеральным </w:t>
            </w:r>
            <w:r w:rsidRPr="00AD37A7">
              <w:rPr>
                <w:sz w:val="28"/>
                <w:szCs w:val="28"/>
              </w:rPr>
              <w:t>законом от 24 июля 2007 г. № 209-ФЗ «О развитии малого и среднего предпринимательства в Российской Федерации» для</w:t>
            </w:r>
            <w:r>
              <w:rPr>
                <w:sz w:val="28"/>
                <w:szCs w:val="28"/>
              </w:rPr>
              <w:t xml:space="preserve"> средних предприятий предусмотрена численность работников от 101 до 250 человек, в то время как субъекты предпринимательства с  численностью работников до 15 человек отнесены к </w:t>
            </w:r>
            <w:proofErr w:type="spellStart"/>
            <w:r>
              <w:rPr>
                <w:sz w:val="28"/>
                <w:szCs w:val="28"/>
              </w:rPr>
              <w:t>микропредприятиям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D37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законопроект также требуется внести дополнение о том, в каком порядке с момента, когда численность работников снизилась до 15 человек, работодатель </w:t>
            </w:r>
            <w:r w:rsidRPr="00AD37A7">
              <w:rPr>
                <w:sz w:val="28"/>
                <w:szCs w:val="28"/>
              </w:rPr>
              <w:t xml:space="preserve">вправе </w:t>
            </w:r>
            <w:r>
              <w:rPr>
                <w:sz w:val="28"/>
                <w:szCs w:val="28"/>
              </w:rPr>
              <w:t xml:space="preserve">перейти к регулированию ряда отношений с работником непосредственно трудовым договором. </w:t>
            </w:r>
            <w:r w:rsidRPr="004933E9">
              <w:rPr>
                <w:sz w:val="28"/>
                <w:szCs w:val="28"/>
              </w:rPr>
              <w:t>Законопроект в целом поддержан ТПП</w:t>
            </w:r>
            <w:r w:rsidRPr="00AD37A7">
              <w:rPr>
                <w:sz w:val="28"/>
                <w:szCs w:val="28"/>
              </w:rPr>
              <w:t> </w:t>
            </w:r>
            <w:r w:rsidRPr="004933E9">
              <w:rPr>
                <w:sz w:val="28"/>
                <w:szCs w:val="28"/>
              </w:rPr>
              <w:t>РФ.</w:t>
            </w:r>
          </w:p>
        </w:tc>
        <w:tc>
          <w:tcPr>
            <w:tcW w:w="2844" w:type="dxa"/>
          </w:tcPr>
          <w:p w:rsidR="00612120" w:rsidRPr="004933E9" w:rsidRDefault="00612120" w:rsidP="004933E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</w:tcPr>
          <w:p w:rsidR="00612120" w:rsidRPr="004933E9" w:rsidRDefault="00612120" w:rsidP="004933E9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12120" w:rsidRPr="004933E9" w:rsidRDefault="009B4C07" w:rsidP="004933E9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933E9">
              <w:rPr>
                <w:rFonts w:eastAsia="Calibri"/>
                <w:bCs/>
                <w:sz w:val="28"/>
                <w:szCs w:val="28"/>
                <w:lang w:eastAsia="en-US"/>
              </w:rPr>
              <w:t>июнь</w:t>
            </w:r>
            <w:r w:rsidR="00612120" w:rsidRPr="004933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2014 года</w:t>
            </w:r>
          </w:p>
        </w:tc>
      </w:tr>
      <w:tr w:rsidR="009C536F" w:rsidRPr="004933E9" w:rsidTr="002A78A8">
        <w:tc>
          <w:tcPr>
            <w:tcW w:w="10065" w:type="dxa"/>
          </w:tcPr>
          <w:p w:rsidR="009C536F" w:rsidRPr="004933E9" w:rsidRDefault="009C536F" w:rsidP="004933E9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4" w:type="dxa"/>
          </w:tcPr>
          <w:p w:rsidR="009C536F" w:rsidRPr="004933E9" w:rsidRDefault="009C536F" w:rsidP="004933E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</w:tcPr>
          <w:p w:rsidR="009C536F" w:rsidRPr="004933E9" w:rsidRDefault="009C536F" w:rsidP="004933E9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B1051B" w:rsidRPr="004933E9" w:rsidRDefault="00B1051B" w:rsidP="004933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33E9">
        <w:rPr>
          <w:b/>
          <w:sz w:val="28"/>
          <w:szCs w:val="28"/>
        </w:rPr>
        <w:t>Коротко</w:t>
      </w:r>
      <w:r w:rsidR="00D45B75" w:rsidRPr="004933E9">
        <w:rPr>
          <w:b/>
          <w:sz w:val="28"/>
          <w:szCs w:val="28"/>
        </w:rPr>
        <w:t>:</w:t>
      </w:r>
    </w:p>
    <w:p w:rsidR="004933E9" w:rsidRPr="004933E9" w:rsidRDefault="004933E9" w:rsidP="004933E9">
      <w:pPr>
        <w:ind w:firstLine="709"/>
        <w:jc w:val="both"/>
        <w:rPr>
          <w:b/>
          <w:sz w:val="28"/>
          <w:szCs w:val="28"/>
        </w:rPr>
      </w:pPr>
      <w:r w:rsidRPr="004933E9">
        <w:rPr>
          <w:b/>
          <w:sz w:val="28"/>
          <w:szCs w:val="28"/>
        </w:rPr>
        <w:t>9  июня</w:t>
      </w:r>
      <w:r w:rsidRPr="004933E9">
        <w:rPr>
          <w:sz w:val="28"/>
          <w:szCs w:val="28"/>
        </w:rPr>
        <w:t xml:space="preserve"> в Государственную думу внесен  правительственный законопроект №</w:t>
      </w:r>
      <w:r w:rsidRPr="004933E9">
        <w:rPr>
          <w:sz w:val="28"/>
          <w:szCs w:val="28"/>
          <w:lang w:val="en-US"/>
        </w:rPr>
        <w:t> </w:t>
      </w:r>
      <w:r w:rsidRPr="004933E9">
        <w:rPr>
          <w:sz w:val="28"/>
          <w:szCs w:val="28"/>
        </w:rPr>
        <w:t>543486-6 «О внесении изменений в отдельные законодательные акты РФ по вопросам исключения избыточных  требований   при   оказании   государственных   услуг   и осуществлении государственных функций». Законопроект отменяет требования о предоставлении органам государственной власти и органам местного самоуправления копий учредительных документов и выписок из Единого государственного реестра юридических лиц и Единого государственного реестра индивидуальных предпринимателей при предоставлении государственных услуг и при осуществлении государственных функций.  Проект разослан по системе ТПП РФ для получения замечаний и предложений.</w:t>
      </w:r>
    </w:p>
    <w:p w:rsidR="004933E9" w:rsidRPr="004933E9" w:rsidRDefault="004933E9" w:rsidP="0049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33E9">
        <w:rPr>
          <w:b/>
          <w:sz w:val="28"/>
          <w:szCs w:val="28"/>
        </w:rPr>
        <w:tab/>
        <w:t>21 июня</w:t>
      </w:r>
      <w:r w:rsidRPr="004933E9">
        <w:rPr>
          <w:sz w:val="28"/>
          <w:szCs w:val="28"/>
        </w:rPr>
        <w:t xml:space="preserve"> Правительством</w:t>
      </w:r>
      <w:r w:rsidR="002A78A8">
        <w:rPr>
          <w:sz w:val="28"/>
          <w:szCs w:val="28"/>
          <w:lang w:val="en-US"/>
        </w:rPr>
        <w:t> </w:t>
      </w:r>
      <w:r w:rsidRPr="004933E9">
        <w:rPr>
          <w:sz w:val="28"/>
          <w:szCs w:val="28"/>
        </w:rPr>
        <w:t>РФ №</w:t>
      </w:r>
      <w:r w:rsidR="002A78A8">
        <w:rPr>
          <w:sz w:val="28"/>
          <w:szCs w:val="28"/>
          <w:lang w:val="en-US"/>
        </w:rPr>
        <w:t> </w:t>
      </w:r>
      <w:r w:rsidRPr="004933E9">
        <w:rPr>
          <w:sz w:val="28"/>
          <w:szCs w:val="28"/>
        </w:rPr>
        <w:t>571 принято постановление «О</w:t>
      </w:r>
      <w:r w:rsidR="00B53451">
        <w:rPr>
          <w:sz w:val="28"/>
          <w:szCs w:val="28"/>
        </w:rPr>
        <w:t> </w:t>
      </w:r>
      <w:r w:rsidRPr="004933E9">
        <w:rPr>
          <w:sz w:val="28"/>
          <w:szCs w:val="28"/>
        </w:rPr>
        <w:t>сопроводительном документе на транспортировку древесины», которым   утверждены единая форма сопроводительного документа на транспортировку древесины любыми видами транспорта и правила ее заполнения. В целях противодействия незаконному обороту древесины в сопроводительном документе на каждую партию древесины будут указываться сведения о её собственнике, грузоотправителе, грузополучателе, перевозчике древесины, её объёме, видовом (породном) и сортиментном составе, пунктах отправления и назначения, номере декларации о сделках с древесиной (в случае, если совершались сделки с указанной древесиной). При транспортировке древесины автомобильным транспортом должен указываться номер государственного регистрационного знака транспортного средства.</w:t>
      </w:r>
    </w:p>
    <w:p w:rsidR="004933E9" w:rsidRPr="004933E9" w:rsidRDefault="004933E9" w:rsidP="004933E9">
      <w:pPr>
        <w:ind w:firstLine="708"/>
        <w:jc w:val="both"/>
        <w:rPr>
          <w:sz w:val="28"/>
          <w:szCs w:val="28"/>
        </w:rPr>
      </w:pPr>
      <w:r w:rsidRPr="004933E9">
        <w:rPr>
          <w:b/>
          <w:sz w:val="28"/>
          <w:szCs w:val="28"/>
        </w:rPr>
        <w:t>26 июня</w:t>
      </w:r>
      <w:r w:rsidRPr="004933E9">
        <w:rPr>
          <w:sz w:val="28"/>
          <w:szCs w:val="28"/>
        </w:rPr>
        <w:t xml:space="preserve"> на заседании Правительства РФ рассмотрен и одобрен к внесению в Государственную Думу законопроект «О стандартизации в Российской Федерации». Проект позволит сформировать правовой механизм регулирования отношений в этой сфере, ориентированных на повышение вклада стандартизации в экономику. Документ направлен на </w:t>
      </w:r>
      <w:proofErr w:type="spellStart"/>
      <w:r w:rsidRPr="004933E9">
        <w:rPr>
          <w:sz w:val="28"/>
          <w:szCs w:val="28"/>
        </w:rPr>
        <w:t>унифицикацию</w:t>
      </w:r>
      <w:proofErr w:type="spellEnd"/>
      <w:r w:rsidRPr="004933E9">
        <w:rPr>
          <w:sz w:val="28"/>
          <w:szCs w:val="28"/>
        </w:rPr>
        <w:t xml:space="preserve"> применяемой терминологии в соответствии с международной практикой, что позволит гармонизировать </w:t>
      </w:r>
      <w:r w:rsidRPr="004933E9">
        <w:rPr>
          <w:sz w:val="28"/>
          <w:szCs w:val="28"/>
        </w:rPr>
        <w:lastRenderedPageBreak/>
        <w:t>документы национальной системы стандартизации с международными документами. Устанавливаются требования к национальной системе стандартизации, национальному органу РФ, техническим комитетам и документам по стандартизации. Определено, что международные и региональные стандарты, стандарты иностранных государств могут использоваться в России после принятия соответствующих национальных стандартов. Вместе с тем заинтересованные предприятия вправе применять такие стандарты напрямую без их адаптации в качестве национальных стандартов. Проект предусматривает необходимость преобразования отраслевых стандартов в национальные стандарты или своды правил в течение 10 лет с момента его вступления в силу, что позволит сохранить применяемые в ряде отраслей промышленности нормативные требования. Проект уже обсуждался экспертами Палаты в 2011-13 годах на стадии «нулевого» чтения и будет точечно разослан ТПП России для замечаний после его внесения в Госдуму.</w:t>
      </w:r>
    </w:p>
    <w:p w:rsidR="00B53451" w:rsidRDefault="00B53451" w:rsidP="00B53451"/>
    <w:p w:rsidR="00F545B0" w:rsidRPr="006D0608" w:rsidRDefault="00F545B0" w:rsidP="004933E9">
      <w:pPr>
        <w:jc w:val="both"/>
        <w:rPr>
          <w:sz w:val="28"/>
          <w:szCs w:val="28"/>
        </w:rPr>
      </w:pPr>
    </w:p>
    <w:p w:rsidR="00B1051B" w:rsidRPr="00F545B0" w:rsidRDefault="00B1051B" w:rsidP="00F545B0">
      <w:pPr>
        <w:pBdr>
          <w:top w:val="single" w:sz="4" w:space="1" w:color="auto"/>
        </w:pBdr>
        <w:jc w:val="center"/>
        <w:rPr>
          <w:rFonts w:eastAsia="Calibri"/>
          <w:i/>
          <w:sz w:val="28"/>
          <w:szCs w:val="28"/>
          <w:lang w:eastAsia="en-US"/>
        </w:rPr>
      </w:pPr>
      <w:r w:rsidRPr="00F545B0">
        <w:rPr>
          <w:rFonts w:eastAsia="Calibri"/>
          <w:i/>
          <w:sz w:val="28"/>
          <w:szCs w:val="28"/>
          <w:lang w:eastAsia="en-US"/>
        </w:rPr>
        <w:t>Юридический департамент ТПП России</w:t>
      </w:r>
    </w:p>
    <w:p w:rsidR="00B1051B" w:rsidRPr="00312329" w:rsidRDefault="00F545B0" w:rsidP="00B1051B">
      <w:pPr>
        <w:jc w:val="center"/>
        <w:rPr>
          <w:rFonts w:eastAsia="Calibri"/>
          <w:sz w:val="28"/>
          <w:szCs w:val="28"/>
          <w:lang w:eastAsia="en-US"/>
        </w:rPr>
      </w:pPr>
      <w:r w:rsidRPr="00F545B0">
        <w:rPr>
          <w:rFonts w:eastAsia="Calibri"/>
          <w:i/>
          <w:sz w:val="28"/>
          <w:szCs w:val="28"/>
          <w:lang w:eastAsia="en-US"/>
        </w:rPr>
        <w:t xml:space="preserve">(т. (495) 620 01 28, ф. (495) 620 03 </w:t>
      </w:r>
      <w:r w:rsidR="00B1051B" w:rsidRPr="00F545B0">
        <w:rPr>
          <w:rFonts w:eastAsia="Calibri"/>
          <w:i/>
          <w:sz w:val="28"/>
          <w:szCs w:val="28"/>
          <w:lang w:eastAsia="en-US"/>
        </w:rPr>
        <w:t xml:space="preserve">67, </w:t>
      </w:r>
      <w:hyperlink r:id="rId9" w:history="1">
        <w:r w:rsidR="00B1051B" w:rsidRPr="00F545B0">
          <w:rPr>
            <w:rFonts w:eastAsia="Calibri"/>
            <w:i/>
            <w:color w:val="0000FF"/>
            <w:sz w:val="28"/>
            <w:szCs w:val="28"/>
            <w:u w:val="single"/>
            <w:lang w:val="en-US" w:eastAsia="en-US"/>
          </w:rPr>
          <w:t>zakon</w:t>
        </w:r>
        <w:r w:rsidR="00B1051B" w:rsidRPr="00F545B0">
          <w:rPr>
            <w:rFonts w:eastAsia="Calibri"/>
            <w:i/>
            <w:color w:val="0000FF"/>
            <w:sz w:val="28"/>
            <w:szCs w:val="28"/>
            <w:u w:val="single"/>
            <w:lang w:eastAsia="en-US"/>
          </w:rPr>
          <w:t>@</w:t>
        </w:r>
        <w:r w:rsidR="00B1051B" w:rsidRPr="00F545B0">
          <w:rPr>
            <w:rFonts w:eastAsia="Calibri"/>
            <w:i/>
            <w:color w:val="0000FF"/>
            <w:sz w:val="28"/>
            <w:szCs w:val="28"/>
            <w:u w:val="single"/>
            <w:lang w:val="en-US" w:eastAsia="en-US"/>
          </w:rPr>
          <w:t>tpprf</w:t>
        </w:r>
        <w:r w:rsidR="00B1051B" w:rsidRPr="00F545B0">
          <w:rPr>
            <w:rFonts w:eastAsia="Calibri"/>
            <w:i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B1051B" w:rsidRPr="00F545B0">
          <w:rPr>
            <w:rFonts w:eastAsia="Calibri"/>
            <w:i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B1051B" w:rsidRPr="00F545B0">
        <w:rPr>
          <w:rFonts w:eastAsia="Calibri"/>
          <w:i/>
          <w:sz w:val="28"/>
          <w:szCs w:val="28"/>
          <w:lang w:eastAsia="en-US"/>
        </w:rPr>
        <w:t>)</w:t>
      </w:r>
    </w:p>
    <w:sectPr w:rsidR="00B1051B" w:rsidRPr="00312329" w:rsidSect="004933E9">
      <w:headerReference w:type="default" r:id="rId10"/>
      <w:pgSz w:w="11906" w:h="16838"/>
      <w:pgMar w:top="1134" w:right="42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F4" w:rsidRDefault="00CF6CF4" w:rsidP="009B2B47">
      <w:r>
        <w:separator/>
      </w:r>
    </w:p>
  </w:endnote>
  <w:endnote w:type="continuationSeparator" w:id="0">
    <w:p w:rsidR="00CF6CF4" w:rsidRDefault="00CF6CF4" w:rsidP="009B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F4" w:rsidRDefault="00CF6CF4" w:rsidP="009B2B47">
      <w:r>
        <w:separator/>
      </w:r>
    </w:p>
  </w:footnote>
  <w:footnote w:type="continuationSeparator" w:id="0">
    <w:p w:rsidR="00CF6CF4" w:rsidRDefault="00CF6CF4" w:rsidP="009B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12669"/>
      <w:docPartObj>
        <w:docPartGallery w:val="Page Numbers (Top of Page)"/>
        <w:docPartUnique/>
      </w:docPartObj>
    </w:sdtPr>
    <w:sdtEndPr/>
    <w:sdtContent>
      <w:p w:rsidR="00BF3BE3" w:rsidRDefault="00A13497">
        <w:pPr>
          <w:pStyle w:val="a5"/>
          <w:jc w:val="center"/>
        </w:pPr>
        <w:r>
          <w:fldChar w:fldCharType="begin"/>
        </w:r>
        <w:r w:rsidR="008E1502">
          <w:instrText>PAGE   \* MERGEFORMAT</w:instrText>
        </w:r>
        <w:r>
          <w:fldChar w:fldCharType="separate"/>
        </w:r>
        <w:r w:rsidR="004505B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F3BE3" w:rsidRDefault="00BF3B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6481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971F12"/>
    <w:multiLevelType w:val="hybridMultilevel"/>
    <w:tmpl w:val="81A29574"/>
    <w:lvl w:ilvl="0" w:tplc="6EB6D5FA">
      <w:start w:val="1"/>
      <w:numFmt w:val="decimal"/>
      <w:lvlText w:val="%1."/>
      <w:lvlJc w:val="left"/>
      <w:pPr>
        <w:ind w:left="1080" w:hanging="360"/>
      </w:pPr>
      <w:rPr>
        <w:rFonts w:eastAsia="Calibri"/>
        <w:sz w:val="27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120"/>
    <w:rsid w:val="000028D7"/>
    <w:rsid w:val="00004C6C"/>
    <w:rsid w:val="00005622"/>
    <w:rsid w:val="00007A54"/>
    <w:rsid w:val="00007F9B"/>
    <w:rsid w:val="00011257"/>
    <w:rsid w:val="00011E06"/>
    <w:rsid w:val="000127FE"/>
    <w:rsid w:val="00013DF9"/>
    <w:rsid w:val="0001419E"/>
    <w:rsid w:val="0001539A"/>
    <w:rsid w:val="00015ED5"/>
    <w:rsid w:val="000218E1"/>
    <w:rsid w:val="0002224C"/>
    <w:rsid w:val="00022AE2"/>
    <w:rsid w:val="00026DD9"/>
    <w:rsid w:val="000278B7"/>
    <w:rsid w:val="000328B9"/>
    <w:rsid w:val="00032E0A"/>
    <w:rsid w:val="0003365D"/>
    <w:rsid w:val="00040E80"/>
    <w:rsid w:val="00042AC0"/>
    <w:rsid w:val="00043DDB"/>
    <w:rsid w:val="000446C0"/>
    <w:rsid w:val="00044E14"/>
    <w:rsid w:val="00046D5C"/>
    <w:rsid w:val="00050869"/>
    <w:rsid w:val="00051D68"/>
    <w:rsid w:val="00052ADC"/>
    <w:rsid w:val="000543B2"/>
    <w:rsid w:val="000545B1"/>
    <w:rsid w:val="000600BE"/>
    <w:rsid w:val="000600CA"/>
    <w:rsid w:val="00060330"/>
    <w:rsid w:val="00061D85"/>
    <w:rsid w:val="00065688"/>
    <w:rsid w:val="000660E6"/>
    <w:rsid w:val="0007013D"/>
    <w:rsid w:val="00070A83"/>
    <w:rsid w:val="0007201E"/>
    <w:rsid w:val="0007314A"/>
    <w:rsid w:val="00075D1A"/>
    <w:rsid w:val="00077380"/>
    <w:rsid w:val="000773E5"/>
    <w:rsid w:val="000812E7"/>
    <w:rsid w:val="00081802"/>
    <w:rsid w:val="000859C9"/>
    <w:rsid w:val="00090D51"/>
    <w:rsid w:val="00096CA5"/>
    <w:rsid w:val="000974D0"/>
    <w:rsid w:val="000978CD"/>
    <w:rsid w:val="000A0B8A"/>
    <w:rsid w:val="000A11C0"/>
    <w:rsid w:val="000A26C1"/>
    <w:rsid w:val="000A3807"/>
    <w:rsid w:val="000A59B6"/>
    <w:rsid w:val="000B0313"/>
    <w:rsid w:val="000B057B"/>
    <w:rsid w:val="000B3C6A"/>
    <w:rsid w:val="000B4041"/>
    <w:rsid w:val="000B4FEF"/>
    <w:rsid w:val="000B6387"/>
    <w:rsid w:val="000B6AA7"/>
    <w:rsid w:val="000B742C"/>
    <w:rsid w:val="000B78C5"/>
    <w:rsid w:val="000C0C82"/>
    <w:rsid w:val="000C25F1"/>
    <w:rsid w:val="000C3DCE"/>
    <w:rsid w:val="000C4434"/>
    <w:rsid w:val="000C4C81"/>
    <w:rsid w:val="000D065E"/>
    <w:rsid w:val="000D1EC1"/>
    <w:rsid w:val="000D32F3"/>
    <w:rsid w:val="000D59C5"/>
    <w:rsid w:val="000D62DD"/>
    <w:rsid w:val="000E0ED2"/>
    <w:rsid w:val="000E1D78"/>
    <w:rsid w:val="000E1FC3"/>
    <w:rsid w:val="000E222C"/>
    <w:rsid w:val="000E2A1D"/>
    <w:rsid w:val="000E2ABA"/>
    <w:rsid w:val="000E2E8A"/>
    <w:rsid w:val="000E2EFC"/>
    <w:rsid w:val="000F25EA"/>
    <w:rsid w:val="000F4A34"/>
    <w:rsid w:val="0010080D"/>
    <w:rsid w:val="00104B40"/>
    <w:rsid w:val="001050C2"/>
    <w:rsid w:val="00105BDD"/>
    <w:rsid w:val="001068FB"/>
    <w:rsid w:val="001104DE"/>
    <w:rsid w:val="001107E0"/>
    <w:rsid w:val="00111997"/>
    <w:rsid w:val="00114194"/>
    <w:rsid w:val="00122F91"/>
    <w:rsid w:val="0012364D"/>
    <w:rsid w:val="00125F70"/>
    <w:rsid w:val="0012687D"/>
    <w:rsid w:val="0012700B"/>
    <w:rsid w:val="00132D6E"/>
    <w:rsid w:val="00134893"/>
    <w:rsid w:val="00135B6E"/>
    <w:rsid w:val="00135CAD"/>
    <w:rsid w:val="001363D3"/>
    <w:rsid w:val="00136E58"/>
    <w:rsid w:val="00140516"/>
    <w:rsid w:val="00142327"/>
    <w:rsid w:val="00143186"/>
    <w:rsid w:val="001440FE"/>
    <w:rsid w:val="001476B4"/>
    <w:rsid w:val="0015059F"/>
    <w:rsid w:val="001506A4"/>
    <w:rsid w:val="00152F34"/>
    <w:rsid w:val="0015324A"/>
    <w:rsid w:val="00154111"/>
    <w:rsid w:val="0015649B"/>
    <w:rsid w:val="001565D6"/>
    <w:rsid w:val="001616DD"/>
    <w:rsid w:val="001636CD"/>
    <w:rsid w:val="00166E09"/>
    <w:rsid w:val="0017177F"/>
    <w:rsid w:val="001729D0"/>
    <w:rsid w:val="001760EB"/>
    <w:rsid w:val="0017643D"/>
    <w:rsid w:val="00176E7C"/>
    <w:rsid w:val="00177D3A"/>
    <w:rsid w:val="00180F9E"/>
    <w:rsid w:val="00182085"/>
    <w:rsid w:val="001820A4"/>
    <w:rsid w:val="001842F5"/>
    <w:rsid w:val="00184546"/>
    <w:rsid w:val="00184711"/>
    <w:rsid w:val="00185F63"/>
    <w:rsid w:val="00187287"/>
    <w:rsid w:val="001919F6"/>
    <w:rsid w:val="001922E2"/>
    <w:rsid w:val="00192460"/>
    <w:rsid w:val="00193844"/>
    <w:rsid w:val="001A01DB"/>
    <w:rsid w:val="001A4054"/>
    <w:rsid w:val="001A5299"/>
    <w:rsid w:val="001A7724"/>
    <w:rsid w:val="001B0E90"/>
    <w:rsid w:val="001B153B"/>
    <w:rsid w:val="001B3F6A"/>
    <w:rsid w:val="001B4A67"/>
    <w:rsid w:val="001B72F9"/>
    <w:rsid w:val="001C1D3E"/>
    <w:rsid w:val="001C3ECE"/>
    <w:rsid w:val="001C4F4A"/>
    <w:rsid w:val="001C71A3"/>
    <w:rsid w:val="001C78F7"/>
    <w:rsid w:val="001D052B"/>
    <w:rsid w:val="001D3946"/>
    <w:rsid w:val="001D3D8A"/>
    <w:rsid w:val="001D568A"/>
    <w:rsid w:val="001D605D"/>
    <w:rsid w:val="001E1F9A"/>
    <w:rsid w:val="001E457C"/>
    <w:rsid w:val="001E5755"/>
    <w:rsid w:val="001E6EF1"/>
    <w:rsid w:val="001E7020"/>
    <w:rsid w:val="001E7F98"/>
    <w:rsid w:val="001F0E89"/>
    <w:rsid w:val="001F1BDA"/>
    <w:rsid w:val="001F41B9"/>
    <w:rsid w:val="001F4749"/>
    <w:rsid w:val="0020045D"/>
    <w:rsid w:val="0020317F"/>
    <w:rsid w:val="00203888"/>
    <w:rsid w:val="00204454"/>
    <w:rsid w:val="00205B92"/>
    <w:rsid w:val="00206B87"/>
    <w:rsid w:val="002070EB"/>
    <w:rsid w:val="0020741B"/>
    <w:rsid w:val="002075CA"/>
    <w:rsid w:val="00212DE7"/>
    <w:rsid w:val="0021609A"/>
    <w:rsid w:val="002179F3"/>
    <w:rsid w:val="00217F00"/>
    <w:rsid w:val="0022084B"/>
    <w:rsid w:val="0022199F"/>
    <w:rsid w:val="00222266"/>
    <w:rsid w:val="00232F69"/>
    <w:rsid w:val="002350B5"/>
    <w:rsid w:val="00236884"/>
    <w:rsid w:val="0023780A"/>
    <w:rsid w:val="00242CF7"/>
    <w:rsid w:val="00243923"/>
    <w:rsid w:val="00243B59"/>
    <w:rsid w:val="00244705"/>
    <w:rsid w:val="00245881"/>
    <w:rsid w:val="00247EAB"/>
    <w:rsid w:val="002519DC"/>
    <w:rsid w:val="00251A2E"/>
    <w:rsid w:val="002536AA"/>
    <w:rsid w:val="00254E42"/>
    <w:rsid w:val="002578C6"/>
    <w:rsid w:val="00260C77"/>
    <w:rsid w:val="002617B5"/>
    <w:rsid w:val="00261F9D"/>
    <w:rsid w:val="0026513E"/>
    <w:rsid w:val="002656A0"/>
    <w:rsid w:val="0026670C"/>
    <w:rsid w:val="00267907"/>
    <w:rsid w:val="002700D2"/>
    <w:rsid w:val="00272835"/>
    <w:rsid w:val="002755E8"/>
    <w:rsid w:val="00275E47"/>
    <w:rsid w:val="00275ED6"/>
    <w:rsid w:val="00280421"/>
    <w:rsid w:val="002804C0"/>
    <w:rsid w:val="00280ABC"/>
    <w:rsid w:val="00281610"/>
    <w:rsid w:val="0028221A"/>
    <w:rsid w:val="002823B0"/>
    <w:rsid w:val="00283E3F"/>
    <w:rsid w:val="002852AF"/>
    <w:rsid w:val="002860B3"/>
    <w:rsid w:val="002918B6"/>
    <w:rsid w:val="00292271"/>
    <w:rsid w:val="0029473D"/>
    <w:rsid w:val="002962B4"/>
    <w:rsid w:val="00297D14"/>
    <w:rsid w:val="002A16D2"/>
    <w:rsid w:val="002A1DDB"/>
    <w:rsid w:val="002A1E3E"/>
    <w:rsid w:val="002A32F8"/>
    <w:rsid w:val="002A3F90"/>
    <w:rsid w:val="002A529F"/>
    <w:rsid w:val="002A532D"/>
    <w:rsid w:val="002A78A8"/>
    <w:rsid w:val="002B0099"/>
    <w:rsid w:val="002B0A3B"/>
    <w:rsid w:val="002B3019"/>
    <w:rsid w:val="002B39E5"/>
    <w:rsid w:val="002B569F"/>
    <w:rsid w:val="002B7086"/>
    <w:rsid w:val="002C124D"/>
    <w:rsid w:val="002C148C"/>
    <w:rsid w:val="002C1C0C"/>
    <w:rsid w:val="002C4C6C"/>
    <w:rsid w:val="002C72EA"/>
    <w:rsid w:val="002C750E"/>
    <w:rsid w:val="002D0A76"/>
    <w:rsid w:val="002D17C6"/>
    <w:rsid w:val="002D20A8"/>
    <w:rsid w:val="002D516F"/>
    <w:rsid w:val="002D581A"/>
    <w:rsid w:val="002D69EB"/>
    <w:rsid w:val="002D7842"/>
    <w:rsid w:val="002E057B"/>
    <w:rsid w:val="002E1925"/>
    <w:rsid w:val="002E24C7"/>
    <w:rsid w:val="002E5222"/>
    <w:rsid w:val="002F038C"/>
    <w:rsid w:val="002F3B0D"/>
    <w:rsid w:val="002F67CF"/>
    <w:rsid w:val="003019FC"/>
    <w:rsid w:val="003027F6"/>
    <w:rsid w:val="0030293C"/>
    <w:rsid w:val="00303B98"/>
    <w:rsid w:val="003058A6"/>
    <w:rsid w:val="00305C4F"/>
    <w:rsid w:val="00306E1E"/>
    <w:rsid w:val="003118EE"/>
    <w:rsid w:val="00312329"/>
    <w:rsid w:val="00312B72"/>
    <w:rsid w:val="00313E60"/>
    <w:rsid w:val="00314014"/>
    <w:rsid w:val="003151D3"/>
    <w:rsid w:val="003154F2"/>
    <w:rsid w:val="00315BFD"/>
    <w:rsid w:val="00317323"/>
    <w:rsid w:val="00317959"/>
    <w:rsid w:val="00317C62"/>
    <w:rsid w:val="00320468"/>
    <w:rsid w:val="003218D5"/>
    <w:rsid w:val="003221FB"/>
    <w:rsid w:val="00323015"/>
    <w:rsid w:val="00324C8B"/>
    <w:rsid w:val="00325425"/>
    <w:rsid w:val="00325BFD"/>
    <w:rsid w:val="003271F9"/>
    <w:rsid w:val="003315EC"/>
    <w:rsid w:val="003333E2"/>
    <w:rsid w:val="00333FC3"/>
    <w:rsid w:val="003357CF"/>
    <w:rsid w:val="00340EED"/>
    <w:rsid w:val="003414D8"/>
    <w:rsid w:val="003420E0"/>
    <w:rsid w:val="0035289B"/>
    <w:rsid w:val="003544B9"/>
    <w:rsid w:val="00357A9C"/>
    <w:rsid w:val="003605BD"/>
    <w:rsid w:val="00360760"/>
    <w:rsid w:val="00366956"/>
    <w:rsid w:val="00370493"/>
    <w:rsid w:val="00372254"/>
    <w:rsid w:val="0037343D"/>
    <w:rsid w:val="00374573"/>
    <w:rsid w:val="00374B72"/>
    <w:rsid w:val="00375358"/>
    <w:rsid w:val="00375C63"/>
    <w:rsid w:val="003769AB"/>
    <w:rsid w:val="003814FB"/>
    <w:rsid w:val="0038158F"/>
    <w:rsid w:val="00382E27"/>
    <w:rsid w:val="003839D4"/>
    <w:rsid w:val="00384486"/>
    <w:rsid w:val="00384901"/>
    <w:rsid w:val="00386F7F"/>
    <w:rsid w:val="00387928"/>
    <w:rsid w:val="00387F81"/>
    <w:rsid w:val="0039018C"/>
    <w:rsid w:val="00390BA3"/>
    <w:rsid w:val="0039156A"/>
    <w:rsid w:val="003915CE"/>
    <w:rsid w:val="003918E4"/>
    <w:rsid w:val="00397964"/>
    <w:rsid w:val="003A08EA"/>
    <w:rsid w:val="003A3C12"/>
    <w:rsid w:val="003A6FE9"/>
    <w:rsid w:val="003B2BAA"/>
    <w:rsid w:val="003B49F6"/>
    <w:rsid w:val="003B4F12"/>
    <w:rsid w:val="003B4F46"/>
    <w:rsid w:val="003B5226"/>
    <w:rsid w:val="003B5AA3"/>
    <w:rsid w:val="003B5B1B"/>
    <w:rsid w:val="003C16CF"/>
    <w:rsid w:val="003D014B"/>
    <w:rsid w:val="003D2ED6"/>
    <w:rsid w:val="003D5683"/>
    <w:rsid w:val="003D58E2"/>
    <w:rsid w:val="003D6C5F"/>
    <w:rsid w:val="003D6F2C"/>
    <w:rsid w:val="003D6FB8"/>
    <w:rsid w:val="003E05DD"/>
    <w:rsid w:val="003E13C5"/>
    <w:rsid w:val="003E14A4"/>
    <w:rsid w:val="003E2BA8"/>
    <w:rsid w:val="003E437A"/>
    <w:rsid w:val="003E7AB0"/>
    <w:rsid w:val="003F0934"/>
    <w:rsid w:val="003F19B2"/>
    <w:rsid w:val="003F2EF6"/>
    <w:rsid w:val="003F71E5"/>
    <w:rsid w:val="003F75A4"/>
    <w:rsid w:val="004007EB"/>
    <w:rsid w:val="004067CA"/>
    <w:rsid w:val="00407233"/>
    <w:rsid w:val="004100ED"/>
    <w:rsid w:val="00412149"/>
    <w:rsid w:val="004126C7"/>
    <w:rsid w:val="0041278C"/>
    <w:rsid w:val="00415C89"/>
    <w:rsid w:val="00420687"/>
    <w:rsid w:val="00421295"/>
    <w:rsid w:val="00421D15"/>
    <w:rsid w:val="0042348F"/>
    <w:rsid w:val="004235A7"/>
    <w:rsid w:val="00432C3D"/>
    <w:rsid w:val="00434F45"/>
    <w:rsid w:val="00436F3D"/>
    <w:rsid w:val="004401E0"/>
    <w:rsid w:val="0044066B"/>
    <w:rsid w:val="00441D60"/>
    <w:rsid w:val="00446D6A"/>
    <w:rsid w:val="004505B3"/>
    <w:rsid w:val="004519C4"/>
    <w:rsid w:val="00452E39"/>
    <w:rsid w:val="004535D6"/>
    <w:rsid w:val="004551C1"/>
    <w:rsid w:val="0045619B"/>
    <w:rsid w:val="004645CD"/>
    <w:rsid w:val="0046779C"/>
    <w:rsid w:val="00471523"/>
    <w:rsid w:val="00472170"/>
    <w:rsid w:val="00475184"/>
    <w:rsid w:val="00476057"/>
    <w:rsid w:val="00476719"/>
    <w:rsid w:val="00476B33"/>
    <w:rsid w:val="00481D06"/>
    <w:rsid w:val="004902C4"/>
    <w:rsid w:val="004933E9"/>
    <w:rsid w:val="0049343F"/>
    <w:rsid w:val="00493CAA"/>
    <w:rsid w:val="0049433E"/>
    <w:rsid w:val="00496818"/>
    <w:rsid w:val="004A019B"/>
    <w:rsid w:val="004A3DD5"/>
    <w:rsid w:val="004A4CD3"/>
    <w:rsid w:val="004A5D6B"/>
    <w:rsid w:val="004A77F6"/>
    <w:rsid w:val="004A7CF2"/>
    <w:rsid w:val="004B0795"/>
    <w:rsid w:val="004B6B85"/>
    <w:rsid w:val="004B6F09"/>
    <w:rsid w:val="004B71D9"/>
    <w:rsid w:val="004B75D6"/>
    <w:rsid w:val="004B76E5"/>
    <w:rsid w:val="004B7BDF"/>
    <w:rsid w:val="004C5609"/>
    <w:rsid w:val="004C6181"/>
    <w:rsid w:val="004C6967"/>
    <w:rsid w:val="004C78C4"/>
    <w:rsid w:val="004D1746"/>
    <w:rsid w:val="004D4A1D"/>
    <w:rsid w:val="004D78BC"/>
    <w:rsid w:val="004D7C3B"/>
    <w:rsid w:val="004E2C7D"/>
    <w:rsid w:val="004E539E"/>
    <w:rsid w:val="004E6313"/>
    <w:rsid w:val="004E7B5F"/>
    <w:rsid w:val="004F516B"/>
    <w:rsid w:val="004F7DDB"/>
    <w:rsid w:val="00502645"/>
    <w:rsid w:val="00503DD5"/>
    <w:rsid w:val="00504635"/>
    <w:rsid w:val="00511171"/>
    <w:rsid w:val="005120C4"/>
    <w:rsid w:val="00512303"/>
    <w:rsid w:val="0051301C"/>
    <w:rsid w:val="005132FD"/>
    <w:rsid w:val="00514B76"/>
    <w:rsid w:val="00515D4D"/>
    <w:rsid w:val="00516156"/>
    <w:rsid w:val="00517DF5"/>
    <w:rsid w:val="00520C52"/>
    <w:rsid w:val="0052343A"/>
    <w:rsid w:val="00523507"/>
    <w:rsid w:val="00523771"/>
    <w:rsid w:val="00524955"/>
    <w:rsid w:val="00524B27"/>
    <w:rsid w:val="00524EDF"/>
    <w:rsid w:val="00525937"/>
    <w:rsid w:val="00526635"/>
    <w:rsid w:val="0052768A"/>
    <w:rsid w:val="00534846"/>
    <w:rsid w:val="00542A13"/>
    <w:rsid w:val="00542BD6"/>
    <w:rsid w:val="00542FA1"/>
    <w:rsid w:val="00546B22"/>
    <w:rsid w:val="0054793C"/>
    <w:rsid w:val="00547E43"/>
    <w:rsid w:val="0055007A"/>
    <w:rsid w:val="0055061B"/>
    <w:rsid w:val="00550BF4"/>
    <w:rsid w:val="005535CF"/>
    <w:rsid w:val="00554887"/>
    <w:rsid w:val="0055742E"/>
    <w:rsid w:val="00566CE4"/>
    <w:rsid w:val="00566DAD"/>
    <w:rsid w:val="00567F26"/>
    <w:rsid w:val="00571E73"/>
    <w:rsid w:val="00575736"/>
    <w:rsid w:val="00575B76"/>
    <w:rsid w:val="00576E08"/>
    <w:rsid w:val="005771F5"/>
    <w:rsid w:val="00577CA1"/>
    <w:rsid w:val="00583168"/>
    <w:rsid w:val="005833B7"/>
    <w:rsid w:val="00583D2B"/>
    <w:rsid w:val="00585327"/>
    <w:rsid w:val="00587DD4"/>
    <w:rsid w:val="005900D1"/>
    <w:rsid w:val="00596962"/>
    <w:rsid w:val="005975C9"/>
    <w:rsid w:val="005A03A2"/>
    <w:rsid w:val="005A11A1"/>
    <w:rsid w:val="005A11B8"/>
    <w:rsid w:val="005A122A"/>
    <w:rsid w:val="005A12C7"/>
    <w:rsid w:val="005A4BB2"/>
    <w:rsid w:val="005A6A1E"/>
    <w:rsid w:val="005B142F"/>
    <w:rsid w:val="005B35CE"/>
    <w:rsid w:val="005B3ACB"/>
    <w:rsid w:val="005B3B30"/>
    <w:rsid w:val="005B5332"/>
    <w:rsid w:val="005B5AD3"/>
    <w:rsid w:val="005B6383"/>
    <w:rsid w:val="005B6D9D"/>
    <w:rsid w:val="005C0309"/>
    <w:rsid w:val="005C099D"/>
    <w:rsid w:val="005C0D7F"/>
    <w:rsid w:val="005C1E69"/>
    <w:rsid w:val="005C28F3"/>
    <w:rsid w:val="005C3039"/>
    <w:rsid w:val="005C5DFD"/>
    <w:rsid w:val="005D1A2D"/>
    <w:rsid w:val="005D4FD1"/>
    <w:rsid w:val="005D5281"/>
    <w:rsid w:val="005E0DEA"/>
    <w:rsid w:val="005E168D"/>
    <w:rsid w:val="005E170E"/>
    <w:rsid w:val="005E30FD"/>
    <w:rsid w:val="005E467B"/>
    <w:rsid w:val="005E61A8"/>
    <w:rsid w:val="005F2577"/>
    <w:rsid w:val="005F473D"/>
    <w:rsid w:val="005F5EFE"/>
    <w:rsid w:val="005F66F9"/>
    <w:rsid w:val="005F7384"/>
    <w:rsid w:val="005F781E"/>
    <w:rsid w:val="005F78FF"/>
    <w:rsid w:val="00601FCF"/>
    <w:rsid w:val="006021A5"/>
    <w:rsid w:val="006024A7"/>
    <w:rsid w:val="00605761"/>
    <w:rsid w:val="00610096"/>
    <w:rsid w:val="00610B3F"/>
    <w:rsid w:val="00612120"/>
    <w:rsid w:val="00612CA0"/>
    <w:rsid w:val="00613986"/>
    <w:rsid w:val="00613F12"/>
    <w:rsid w:val="00616B66"/>
    <w:rsid w:val="00616BD9"/>
    <w:rsid w:val="00617681"/>
    <w:rsid w:val="00622E90"/>
    <w:rsid w:val="006230E6"/>
    <w:rsid w:val="00623B6E"/>
    <w:rsid w:val="00624AF3"/>
    <w:rsid w:val="00625644"/>
    <w:rsid w:val="006310CC"/>
    <w:rsid w:val="00631949"/>
    <w:rsid w:val="006343D3"/>
    <w:rsid w:val="00635FAE"/>
    <w:rsid w:val="00642322"/>
    <w:rsid w:val="00643782"/>
    <w:rsid w:val="00644448"/>
    <w:rsid w:val="006449D4"/>
    <w:rsid w:val="00646DD0"/>
    <w:rsid w:val="00651F18"/>
    <w:rsid w:val="00653878"/>
    <w:rsid w:val="00654216"/>
    <w:rsid w:val="006553D6"/>
    <w:rsid w:val="00655866"/>
    <w:rsid w:val="00656EB0"/>
    <w:rsid w:val="0066193F"/>
    <w:rsid w:val="006642C0"/>
    <w:rsid w:val="0066448C"/>
    <w:rsid w:val="00664910"/>
    <w:rsid w:val="00665CFB"/>
    <w:rsid w:val="00670E02"/>
    <w:rsid w:val="00671704"/>
    <w:rsid w:val="006723E6"/>
    <w:rsid w:val="00676A3E"/>
    <w:rsid w:val="006779F2"/>
    <w:rsid w:val="0068032F"/>
    <w:rsid w:val="006809F0"/>
    <w:rsid w:val="00680D24"/>
    <w:rsid w:val="0068166F"/>
    <w:rsid w:val="00682529"/>
    <w:rsid w:val="006832BD"/>
    <w:rsid w:val="00685BA7"/>
    <w:rsid w:val="00687A54"/>
    <w:rsid w:val="00687C59"/>
    <w:rsid w:val="00690367"/>
    <w:rsid w:val="0069071C"/>
    <w:rsid w:val="006923C9"/>
    <w:rsid w:val="006956FC"/>
    <w:rsid w:val="00697FF0"/>
    <w:rsid w:val="006B1000"/>
    <w:rsid w:val="006B1246"/>
    <w:rsid w:val="006B16A1"/>
    <w:rsid w:val="006B1A04"/>
    <w:rsid w:val="006B2A28"/>
    <w:rsid w:val="006B3352"/>
    <w:rsid w:val="006B3ADF"/>
    <w:rsid w:val="006B6AFA"/>
    <w:rsid w:val="006B71DA"/>
    <w:rsid w:val="006B7E81"/>
    <w:rsid w:val="006C08F4"/>
    <w:rsid w:val="006C0902"/>
    <w:rsid w:val="006C5168"/>
    <w:rsid w:val="006C627E"/>
    <w:rsid w:val="006C6A6D"/>
    <w:rsid w:val="006C6AF4"/>
    <w:rsid w:val="006C7094"/>
    <w:rsid w:val="006C7733"/>
    <w:rsid w:val="006D0608"/>
    <w:rsid w:val="006D36B0"/>
    <w:rsid w:val="006D5AB0"/>
    <w:rsid w:val="006D5CB8"/>
    <w:rsid w:val="006D62F8"/>
    <w:rsid w:val="006E034E"/>
    <w:rsid w:val="006E06CE"/>
    <w:rsid w:val="006E0A1F"/>
    <w:rsid w:val="006E2ED0"/>
    <w:rsid w:val="006E4192"/>
    <w:rsid w:val="006E77B2"/>
    <w:rsid w:val="006F0350"/>
    <w:rsid w:val="006F0D27"/>
    <w:rsid w:val="006F13CD"/>
    <w:rsid w:val="006F2F11"/>
    <w:rsid w:val="006F439E"/>
    <w:rsid w:val="006F454E"/>
    <w:rsid w:val="006F4F6E"/>
    <w:rsid w:val="006F52EF"/>
    <w:rsid w:val="007018C4"/>
    <w:rsid w:val="0070260D"/>
    <w:rsid w:val="00702CA9"/>
    <w:rsid w:val="00703401"/>
    <w:rsid w:val="00704A93"/>
    <w:rsid w:val="00705B70"/>
    <w:rsid w:val="007063BB"/>
    <w:rsid w:val="007116DE"/>
    <w:rsid w:val="007168EF"/>
    <w:rsid w:val="00717A17"/>
    <w:rsid w:val="00720A31"/>
    <w:rsid w:val="00722186"/>
    <w:rsid w:val="00724992"/>
    <w:rsid w:val="00724BE3"/>
    <w:rsid w:val="00726AEF"/>
    <w:rsid w:val="00727855"/>
    <w:rsid w:val="007300DE"/>
    <w:rsid w:val="0073396C"/>
    <w:rsid w:val="00734D60"/>
    <w:rsid w:val="0073667D"/>
    <w:rsid w:val="00737E5E"/>
    <w:rsid w:val="00740C83"/>
    <w:rsid w:val="00740E25"/>
    <w:rsid w:val="00745C1C"/>
    <w:rsid w:val="00751334"/>
    <w:rsid w:val="0075385A"/>
    <w:rsid w:val="0075514A"/>
    <w:rsid w:val="00757328"/>
    <w:rsid w:val="00761C20"/>
    <w:rsid w:val="00762CB1"/>
    <w:rsid w:val="00762D9D"/>
    <w:rsid w:val="007664F0"/>
    <w:rsid w:val="00766614"/>
    <w:rsid w:val="0077206F"/>
    <w:rsid w:val="00773AAF"/>
    <w:rsid w:val="00774179"/>
    <w:rsid w:val="007749EB"/>
    <w:rsid w:val="0077694F"/>
    <w:rsid w:val="00777313"/>
    <w:rsid w:val="00780665"/>
    <w:rsid w:val="007806EF"/>
    <w:rsid w:val="0078241B"/>
    <w:rsid w:val="007842E4"/>
    <w:rsid w:val="007865C3"/>
    <w:rsid w:val="00787DB5"/>
    <w:rsid w:val="007902F6"/>
    <w:rsid w:val="00791678"/>
    <w:rsid w:val="007969CC"/>
    <w:rsid w:val="00797053"/>
    <w:rsid w:val="00797B19"/>
    <w:rsid w:val="007A223C"/>
    <w:rsid w:val="007A2919"/>
    <w:rsid w:val="007A4EB2"/>
    <w:rsid w:val="007A6E0A"/>
    <w:rsid w:val="007A7170"/>
    <w:rsid w:val="007A752D"/>
    <w:rsid w:val="007B0C42"/>
    <w:rsid w:val="007B22A1"/>
    <w:rsid w:val="007B2721"/>
    <w:rsid w:val="007B3346"/>
    <w:rsid w:val="007B46E2"/>
    <w:rsid w:val="007B558C"/>
    <w:rsid w:val="007B5837"/>
    <w:rsid w:val="007C0391"/>
    <w:rsid w:val="007C088A"/>
    <w:rsid w:val="007C43B9"/>
    <w:rsid w:val="007C4CA3"/>
    <w:rsid w:val="007C5B08"/>
    <w:rsid w:val="007C5E50"/>
    <w:rsid w:val="007C7E7F"/>
    <w:rsid w:val="007D1A34"/>
    <w:rsid w:val="007D22F1"/>
    <w:rsid w:val="007D4D18"/>
    <w:rsid w:val="007E09C0"/>
    <w:rsid w:val="007E0C05"/>
    <w:rsid w:val="007E1829"/>
    <w:rsid w:val="007E362F"/>
    <w:rsid w:val="007E4E70"/>
    <w:rsid w:val="007E560D"/>
    <w:rsid w:val="007F1D14"/>
    <w:rsid w:val="007F2921"/>
    <w:rsid w:val="007F2D67"/>
    <w:rsid w:val="007F4591"/>
    <w:rsid w:val="007F4CB2"/>
    <w:rsid w:val="007F5276"/>
    <w:rsid w:val="007F73DE"/>
    <w:rsid w:val="00800ECB"/>
    <w:rsid w:val="00801853"/>
    <w:rsid w:val="00802347"/>
    <w:rsid w:val="008027FD"/>
    <w:rsid w:val="00802DE0"/>
    <w:rsid w:val="0080320F"/>
    <w:rsid w:val="008064B4"/>
    <w:rsid w:val="00807AFD"/>
    <w:rsid w:val="00807C41"/>
    <w:rsid w:val="0081297E"/>
    <w:rsid w:val="00813526"/>
    <w:rsid w:val="0081659E"/>
    <w:rsid w:val="00821B45"/>
    <w:rsid w:val="008229F7"/>
    <w:rsid w:val="00823165"/>
    <w:rsid w:val="00824096"/>
    <w:rsid w:val="00825B66"/>
    <w:rsid w:val="00825C64"/>
    <w:rsid w:val="00826D3B"/>
    <w:rsid w:val="00831825"/>
    <w:rsid w:val="00831DDE"/>
    <w:rsid w:val="00831E4C"/>
    <w:rsid w:val="0083328E"/>
    <w:rsid w:val="008355F3"/>
    <w:rsid w:val="008403F5"/>
    <w:rsid w:val="008408CE"/>
    <w:rsid w:val="00846A80"/>
    <w:rsid w:val="008518B6"/>
    <w:rsid w:val="00852A00"/>
    <w:rsid w:val="0085310F"/>
    <w:rsid w:val="008534D5"/>
    <w:rsid w:val="00853DB8"/>
    <w:rsid w:val="00856616"/>
    <w:rsid w:val="00857B4A"/>
    <w:rsid w:val="008601F9"/>
    <w:rsid w:val="0086150A"/>
    <w:rsid w:val="00862117"/>
    <w:rsid w:val="00866391"/>
    <w:rsid w:val="00870B9C"/>
    <w:rsid w:val="00871190"/>
    <w:rsid w:val="00871BCC"/>
    <w:rsid w:val="0087262A"/>
    <w:rsid w:val="008730B9"/>
    <w:rsid w:val="00875A08"/>
    <w:rsid w:val="00875AEE"/>
    <w:rsid w:val="008770B4"/>
    <w:rsid w:val="00880B49"/>
    <w:rsid w:val="00884D11"/>
    <w:rsid w:val="00885380"/>
    <w:rsid w:val="00886835"/>
    <w:rsid w:val="00887E37"/>
    <w:rsid w:val="00891B6F"/>
    <w:rsid w:val="00895A54"/>
    <w:rsid w:val="0089620C"/>
    <w:rsid w:val="0089752C"/>
    <w:rsid w:val="008A1DF2"/>
    <w:rsid w:val="008A5740"/>
    <w:rsid w:val="008A67D9"/>
    <w:rsid w:val="008A6ED8"/>
    <w:rsid w:val="008A709B"/>
    <w:rsid w:val="008B40FC"/>
    <w:rsid w:val="008B62C9"/>
    <w:rsid w:val="008B68CF"/>
    <w:rsid w:val="008C0002"/>
    <w:rsid w:val="008C1A02"/>
    <w:rsid w:val="008C3385"/>
    <w:rsid w:val="008C651E"/>
    <w:rsid w:val="008C7443"/>
    <w:rsid w:val="008D13F3"/>
    <w:rsid w:val="008D1F7B"/>
    <w:rsid w:val="008D2C02"/>
    <w:rsid w:val="008D2CA1"/>
    <w:rsid w:val="008D3D5F"/>
    <w:rsid w:val="008D49D6"/>
    <w:rsid w:val="008D62C3"/>
    <w:rsid w:val="008D6D72"/>
    <w:rsid w:val="008E0F56"/>
    <w:rsid w:val="008E1502"/>
    <w:rsid w:val="008E471B"/>
    <w:rsid w:val="008E5D56"/>
    <w:rsid w:val="008E7B64"/>
    <w:rsid w:val="008F1179"/>
    <w:rsid w:val="008F233D"/>
    <w:rsid w:val="008F6937"/>
    <w:rsid w:val="0090428E"/>
    <w:rsid w:val="00905D6E"/>
    <w:rsid w:val="00906928"/>
    <w:rsid w:val="009075D4"/>
    <w:rsid w:val="00912F03"/>
    <w:rsid w:val="00913054"/>
    <w:rsid w:val="0091404F"/>
    <w:rsid w:val="00915CF3"/>
    <w:rsid w:val="00915D67"/>
    <w:rsid w:val="00921157"/>
    <w:rsid w:val="009213D4"/>
    <w:rsid w:val="00923132"/>
    <w:rsid w:val="009257A6"/>
    <w:rsid w:val="00925D65"/>
    <w:rsid w:val="009261B1"/>
    <w:rsid w:val="00932907"/>
    <w:rsid w:val="009344C8"/>
    <w:rsid w:val="00935B2D"/>
    <w:rsid w:val="00936006"/>
    <w:rsid w:val="0094285A"/>
    <w:rsid w:val="00944FDD"/>
    <w:rsid w:val="009463A7"/>
    <w:rsid w:val="00947506"/>
    <w:rsid w:val="00951F6D"/>
    <w:rsid w:val="00952977"/>
    <w:rsid w:val="0095350D"/>
    <w:rsid w:val="0095695D"/>
    <w:rsid w:val="00956C96"/>
    <w:rsid w:val="00960E3F"/>
    <w:rsid w:val="00963B03"/>
    <w:rsid w:val="009642D6"/>
    <w:rsid w:val="00965500"/>
    <w:rsid w:val="00965EDF"/>
    <w:rsid w:val="00966DAE"/>
    <w:rsid w:val="00967BB4"/>
    <w:rsid w:val="009706AE"/>
    <w:rsid w:val="009729AA"/>
    <w:rsid w:val="00974115"/>
    <w:rsid w:val="00976BC3"/>
    <w:rsid w:val="00977F2F"/>
    <w:rsid w:val="009802C2"/>
    <w:rsid w:val="009805E6"/>
    <w:rsid w:val="00981ABD"/>
    <w:rsid w:val="00982625"/>
    <w:rsid w:val="00984158"/>
    <w:rsid w:val="00984AB8"/>
    <w:rsid w:val="00984EAD"/>
    <w:rsid w:val="00986136"/>
    <w:rsid w:val="009867D4"/>
    <w:rsid w:val="00986996"/>
    <w:rsid w:val="00990370"/>
    <w:rsid w:val="009914F3"/>
    <w:rsid w:val="009943D3"/>
    <w:rsid w:val="009A17AC"/>
    <w:rsid w:val="009A19CD"/>
    <w:rsid w:val="009A22DA"/>
    <w:rsid w:val="009A25B7"/>
    <w:rsid w:val="009A2CE3"/>
    <w:rsid w:val="009A4207"/>
    <w:rsid w:val="009A714C"/>
    <w:rsid w:val="009B1599"/>
    <w:rsid w:val="009B2B47"/>
    <w:rsid w:val="009B4C07"/>
    <w:rsid w:val="009B6BBE"/>
    <w:rsid w:val="009B7AD7"/>
    <w:rsid w:val="009C084F"/>
    <w:rsid w:val="009C365E"/>
    <w:rsid w:val="009C3A75"/>
    <w:rsid w:val="009C536F"/>
    <w:rsid w:val="009C6251"/>
    <w:rsid w:val="009C6AEF"/>
    <w:rsid w:val="009C7886"/>
    <w:rsid w:val="009C78CD"/>
    <w:rsid w:val="009D0D98"/>
    <w:rsid w:val="009D1284"/>
    <w:rsid w:val="009D1611"/>
    <w:rsid w:val="009D1913"/>
    <w:rsid w:val="009D30CF"/>
    <w:rsid w:val="009D5E5E"/>
    <w:rsid w:val="009D63F2"/>
    <w:rsid w:val="009E1E72"/>
    <w:rsid w:val="009E36F7"/>
    <w:rsid w:val="009E5124"/>
    <w:rsid w:val="009E5842"/>
    <w:rsid w:val="009F0901"/>
    <w:rsid w:val="009F1A30"/>
    <w:rsid w:val="009F1D65"/>
    <w:rsid w:val="009F39BA"/>
    <w:rsid w:val="009F43BF"/>
    <w:rsid w:val="009F6157"/>
    <w:rsid w:val="009F633C"/>
    <w:rsid w:val="00A0270F"/>
    <w:rsid w:val="00A02B66"/>
    <w:rsid w:val="00A0477C"/>
    <w:rsid w:val="00A07329"/>
    <w:rsid w:val="00A077E3"/>
    <w:rsid w:val="00A07ED4"/>
    <w:rsid w:val="00A113A2"/>
    <w:rsid w:val="00A11784"/>
    <w:rsid w:val="00A13497"/>
    <w:rsid w:val="00A14419"/>
    <w:rsid w:val="00A151B8"/>
    <w:rsid w:val="00A151E1"/>
    <w:rsid w:val="00A16B3F"/>
    <w:rsid w:val="00A24391"/>
    <w:rsid w:val="00A317C7"/>
    <w:rsid w:val="00A329BF"/>
    <w:rsid w:val="00A34F2B"/>
    <w:rsid w:val="00A365E1"/>
    <w:rsid w:val="00A40269"/>
    <w:rsid w:val="00A408E6"/>
    <w:rsid w:val="00A418F4"/>
    <w:rsid w:val="00A43B85"/>
    <w:rsid w:val="00A43F0A"/>
    <w:rsid w:val="00A45EE4"/>
    <w:rsid w:val="00A46589"/>
    <w:rsid w:val="00A514FD"/>
    <w:rsid w:val="00A52BFE"/>
    <w:rsid w:val="00A52D87"/>
    <w:rsid w:val="00A5419D"/>
    <w:rsid w:val="00A54FE1"/>
    <w:rsid w:val="00A5588B"/>
    <w:rsid w:val="00A632F3"/>
    <w:rsid w:val="00A6530A"/>
    <w:rsid w:val="00A67C90"/>
    <w:rsid w:val="00A71118"/>
    <w:rsid w:val="00A72E38"/>
    <w:rsid w:val="00A73450"/>
    <w:rsid w:val="00A7450F"/>
    <w:rsid w:val="00A772CF"/>
    <w:rsid w:val="00A80A2A"/>
    <w:rsid w:val="00A815D6"/>
    <w:rsid w:val="00A831A6"/>
    <w:rsid w:val="00A83753"/>
    <w:rsid w:val="00A86174"/>
    <w:rsid w:val="00A91C7E"/>
    <w:rsid w:val="00A920E6"/>
    <w:rsid w:val="00A92C7A"/>
    <w:rsid w:val="00A939AF"/>
    <w:rsid w:val="00A941A6"/>
    <w:rsid w:val="00A96AEE"/>
    <w:rsid w:val="00A97059"/>
    <w:rsid w:val="00AA0334"/>
    <w:rsid w:val="00AA1EF7"/>
    <w:rsid w:val="00AA4A3D"/>
    <w:rsid w:val="00AA7B72"/>
    <w:rsid w:val="00AB1455"/>
    <w:rsid w:val="00AB1A4D"/>
    <w:rsid w:val="00AB36F8"/>
    <w:rsid w:val="00AB48B0"/>
    <w:rsid w:val="00AB550F"/>
    <w:rsid w:val="00AB577D"/>
    <w:rsid w:val="00AB668A"/>
    <w:rsid w:val="00AB762E"/>
    <w:rsid w:val="00AC078B"/>
    <w:rsid w:val="00AC08C5"/>
    <w:rsid w:val="00AC245D"/>
    <w:rsid w:val="00AC258E"/>
    <w:rsid w:val="00AC4D6B"/>
    <w:rsid w:val="00AC4F91"/>
    <w:rsid w:val="00AC59FB"/>
    <w:rsid w:val="00AC6511"/>
    <w:rsid w:val="00AC7423"/>
    <w:rsid w:val="00AC75BB"/>
    <w:rsid w:val="00AC78F5"/>
    <w:rsid w:val="00AD2993"/>
    <w:rsid w:val="00AD37A7"/>
    <w:rsid w:val="00AD7E31"/>
    <w:rsid w:val="00AE4390"/>
    <w:rsid w:val="00AE59E0"/>
    <w:rsid w:val="00AF03D9"/>
    <w:rsid w:val="00AF62A0"/>
    <w:rsid w:val="00AF662B"/>
    <w:rsid w:val="00AF7CDF"/>
    <w:rsid w:val="00AF7E52"/>
    <w:rsid w:val="00B00DCA"/>
    <w:rsid w:val="00B01C48"/>
    <w:rsid w:val="00B023FE"/>
    <w:rsid w:val="00B02506"/>
    <w:rsid w:val="00B04892"/>
    <w:rsid w:val="00B04DF8"/>
    <w:rsid w:val="00B07366"/>
    <w:rsid w:val="00B074D0"/>
    <w:rsid w:val="00B075FD"/>
    <w:rsid w:val="00B078CE"/>
    <w:rsid w:val="00B1051B"/>
    <w:rsid w:val="00B1119F"/>
    <w:rsid w:val="00B11EAB"/>
    <w:rsid w:val="00B13D52"/>
    <w:rsid w:val="00B13D72"/>
    <w:rsid w:val="00B14E8C"/>
    <w:rsid w:val="00B168D5"/>
    <w:rsid w:val="00B211D6"/>
    <w:rsid w:val="00B221B0"/>
    <w:rsid w:val="00B25774"/>
    <w:rsid w:val="00B268D8"/>
    <w:rsid w:val="00B304C3"/>
    <w:rsid w:val="00B32E83"/>
    <w:rsid w:val="00B352C4"/>
    <w:rsid w:val="00B357C8"/>
    <w:rsid w:val="00B35816"/>
    <w:rsid w:val="00B35FEE"/>
    <w:rsid w:val="00B37971"/>
    <w:rsid w:val="00B4162E"/>
    <w:rsid w:val="00B41AB5"/>
    <w:rsid w:val="00B41DBA"/>
    <w:rsid w:val="00B426C5"/>
    <w:rsid w:val="00B44F3C"/>
    <w:rsid w:val="00B52116"/>
    <w:rsid w:val="00B5218C"/>
    <w:rsid w:val="00B52A65"/>
    <w:rsid w:val="00B53451"/>
    <w:rsid w:val="00B55566"/>
    <w:rsid w:val="00B578E3"/>
    <w:rsid w:val="00B6205D"/>
    <w:rsid w:val="00B62B95"/>
    <w:rsid w:val="00B6401B"/>
    <w:rsid w:val="00B646CD"/>
    <w:rsid w:val="00B64ECB"/>
    <w:rsid w:val="00B6625F"/>
    <w:rsid w:val="00B66DEC"/>
    <w:rsid w:val="00B66F46"/>
    <w:rsid w:val="00B709AD"/>
    <w:rsid w:val="00B7130F"/>
    <w:rsid w:val="00B74448"/>
    <w:rsid w:val="00B74CF1"/>
    <w:rsid w:val="00B7523D"/>
    <w:rsid w:val="00B7531A"/>
    <w:rsid w:val="00B76E7D"/>
    <w:rsid w:val="00B8087D"/>
    <w:rsid w:val="00B81901"/>
    <w:rsid w:val="00B85267"/>
    <w:rsid w:val="00B90C7B"/>
    <w:rsid w:val="00B911EA"/>
    <w:rsid w:val="00B91567"/>
    <w:rsid w:val="00B915FB"/>
    <w:rsid w:val="00B934DF"/>
    <w:rsid w:val="00B9375E"/>
    <w:rsid w:val="00B93A02"/>
    <w:rsid w:val="00B948A4"/>
    <w:rsid w:val="00BA3DFA"/>
    <w:rsid w:val="00BA4FDA"/>
    <w:rsid w:val="00BA595E"/>
    <w:rsid w:val="00BB07B7"/>
    <w:rsid w:val="00BB5337"/>
    <w:rsid w:val="00BB7723"/>
    <w:rsid w:val="00BB7A79"/>
    <w:rsid w:val="00BC16B2"/>
    <w:rsid w:val="00BC1FD1"/>
    <w:rsid w:val="00BC3258"/>
    <w:rsid w:val="00BC35F9"/>
    <w:rsid w:val="00BC745C"/>
    <w:rsid w:val="00BD0345"/>
    <w:rsid w:val="00BD18E2"/>
    <w:rsid w:val="00BD2826"/>
    <w:rsid w:val="00BD2D69"/>
    <w:rsid w:val="00BE0776"/>
    <w:rsid w:val="00BE1767"/>
    <w:rsid w:val="00BE3C6F"/>
    <w:rsid w:val="00BE467E"/>
    <w:rsid w:val="00BE5E53"/>
    <w:rsid w:val="00BF1BC8"/>
    <w:rsid w:val="00BF35CD"/>
    <w:rsid w:val="00BF3BE3"/>
    <w:rsid w:val="00BF58DB"/>
    <w:rsid w:val="00BF7E97"/>
    <w:rsid w:val="00C000DB"/>
    <w:rsid w:val="00C0139D"/>
    <w:rsid w:val="00C0496A"/>
    <w:rsid w:val="00C0748D"/>
    <w:rsid w:val="00C07EFD"/>
    <w:rsid w:val="00C1212D"/>
    <w:rsid w:val="00C14062"/>
    <w:rsid w:val="00C14B27"/>
    <w:rsid w:val="00C266C3"/>
    <w:rsid w:val="00C26809"/>
    <w:rsid w:val="00C3523E"/>
    <w:rsid w:val="00C356D7"/>
    <w:rsid w:val="00C36606"/>
    <w:rsid w:val="00C3777E"/>
    <w:rsid w:val="00C40915"/>
    <w:rsid w:val="00C45537"/>
    <w:rsid w:val="00C46299"/>
    <w:rsid w:val="00C463DD"/>
    <w:rsid w:val="00C46CB6"/>
    <w:rsid w:val="00C51724"/>
    <w:rsid w:val="00C60347"/>
    <w:rsid w:val="00C60B4B"/>
    <w:rsid w:val="00C60F3B"/>
    <w:rsid w:val="00C6120A"/>
    <w:rsid w:val="00C617B3"/>
    <w:rsid w:val="00C63010"/>
    <w:rsid w:val="00C63178"/>
    <w:rsid w:val="00C711B6"/>
    <w:rsid w:val="00C72B55"/>
    <w:rsid w:val="00C737A4"/>
    <w:rsid w:val="00C7668B"/>
    <w:rsid w:val="00C76ADF"/>
    <w:rsid w:val="00C76E9C"/>
    <w:rsid w:val="00C81520"/>
    <w:rsid w:val="00C82AB3"/>
    <w:rsid w:val="00C859AC"/>
    <w:rsid w:val="00C86CB8"/>
    <w:rsid w:val="00C90D10"/>
    <w:rsid w:val="00C91848"/>
    <w:rsid w:val="00C92333"/>
    <w:rsid w:val="00C92909"/>
    <w:rsid w:val="00C93644"/>
    <w:rsid w:val="00C95464"/>
    <w:rsid w:val="00C96B1B"/>
    <w:rsid w:val="00C96EEE"/>
    <w:rsid w:val="00CA03F9"/>
    <w:rsid w:val="00CA0C36"/>
    <w:rsid w:val="00CA0C59"/>
    <w:rsid w:val="00CA5FB9"/>
    <w:rsid w:val="00CA6E55"/>
    <w:rsid w:val="00CA78E7"/>
    <w:rsid w:val="00CB062C"/>
    <w:rsid w:val="00CB1FD2"/>
    <w:rsid w:val="00CB1FD8"/>
    <w:rsid w:val="00CB3D33"/>
    <w:rsid w:val="00CB4383"/>
    <w:rsid w:val="00CB6BDE"/>
    <w:rsid w:val="00CC0F67"/>
    <w:rsid w:val="00CC31D5"/>
    <w:rsid w:val="00CC328D"/>
    <w:rsid w:val="00CC3BE2"/>
    <w:rsid w:val="00CC3CD1"/>
    <w:rsid w:val="00CC4005"/>
    <w:rsid w:val="00CC4CDE"/>
    <w:rsid w:val="00CC519B"/>
    <w:rsid w:val="00CC7700"/>
    <w:rsid w:val="00CD006E"/>
    <w:rsid w:val="00CD0817"/>
    <w:rsid w:val="00CD1578"/>
    <w:rsid w:val="00CD4455"/>
    <w:rsid w:val="00CD61E1"/>
    <w:rsid w:val="00CD6ED3"/>
    <w:rsid w:val="00CE218F"/>
    <w:rsid w:val="00CE2EAD"/>
    <w:rsid w:val="00CE525E"/>
    <w:rsid w:val="00CE6FC0"/>
    <w:rsid w:val="00CE75C1"/>
    <w:rsid w:val="00CF1AB1"/>
    <w:rsid w:val="00CF37CB"/>
    <w:rsid w:val="00CF6CF4"/>
    <w:rsid w:val="00CF7D11"/>
    <w:rsid w:val="00D01B2D"/>
    <w:rsid w:val="00D01BCE"/>
    <w:rsid w:val="00D0344B"/>
    <w:rsid w:val="00D03E49"/>
    <w:rsid w:val="00D03E95"/>
    <w:rsid w:val="00D05790"/>
    <w:rsid w:val="00D100E7"/>
    <w:rsid w:val="00D120AB"/>
    <w:rsid w:val="00D125CB"/>
    <w:rsid w:val="00D12E99"/>
    <w:rsid w:val="00D150D2"/>
    <w:rsid w:val="00D212CB"/>
    <w:rsid w:val="00D223DB"/>
    <w:rsid w:val="00D23595"/>
    <w:rsid w:val="00D2550D"/>
    <w:rsid w:val="00D30402"/>
    <w:rsid w:val="00D306CF"/>
    <w:rsid w:val="00D311D6"/>
    <w:rsid w:val="00D31A20"/>
    <w:rsid w:val="00D339C9"/>
    <w:rsid w:val="00D33CB9"/>
    <w:rsid w:val="00D3688C"/>
    <w:rsid w:val="00D3724B"/>
    <w:rsid w:val="00D419C5"/>
    <w:rsid w:val="00D43DAE"/>
    <w:rsid w:val="00D43E11"/>
    <w:rsid w:val="00D45AAD"/>
    <w:rsid w:val="00D45B75"/>
    <w:rsid w:val="00D46DC1"/>
    <w:rsid w:val="00D5178C"/>
    <w:rsid w:val="00D5209B"/>
    <w:rsid w:val="00D52219"/>
    <w:rsid w:val="00D57A06"/>
    <w:rsid w:val="00D6064B"/>
    <w:rsid w:val="00D6175A"/>
    <w:rsid w:val="00D618DA"/>
    <w:rsid w:val="00D619C9"/>
    <w:rsid w:val="00D61D26"/>
    <w:rsid w:val="00D62B79"/>
    <w:rsid w:val="00D673F9"/>
    <w:rsid w:val="00D678C5"/>
    <w:rsid w:val="00D757A3"/>
    <w:rsid w:val="00D764C2"/>
    <w:rsid w:val="00D76AE8"/>
    <w:rsid w:val="00D76DEB"/>
    <w:rsid w:val="00D8064A"/>
    <w:rsid w:val="00D81A9E"/>
    <w:rsid w:val="00D825EB"/>
    <w:rsid w:val="00D83134"/>
    <w:rsid w:val="00D843EA"/>
    <w:rsid w:val="00D90384"/>
    <w:rsid w:val="00D92EB9"/>
    <w:rsid w:val="00D9360C"/>
    <w:rsid w:val="00D94265"/>
    <w:rsid w:val="00D95FF4"/>
    <w:rsid w:val="00DA03A2"/>
    <w:rsid w:val="00DA0863"/>
    <w:rsid w:val="00DA14F3"/>
    <w:rsid w:val="00DA3E4C"/>
    <w:rsid w:val="00DA4048"/>
    <w:rsid w:val="00DA436C"/>
    <w:rsid w:val="00DA66DF"/>
    <w:rsid w:val="00DA73C1"/>
    <w:rsid w:val="00DA7481"/>
    <w:rsid w:val="00DB1778"/>
    <w:rsid w:val="00DB1AE8"/>
    <w:rsid w:val="00DB25CA"/>
    <w:rsid w:val="00DB5B63"/>
    <w:rsid w:val="00DC00CB"/>
    <w:rsid w:val="00DC0A21"/>
    <w:rsid w:val="00DC0E3C"/>
    <w:rsid w:val="00DC3E46"/>
    <w:rsid w:val="00DC4597"/>
    <w:rsid w:val="00DC631D"/>
    <w:rsid w:val="00DC6FBE"/>
    <w:rsid w:val="00DD0C09"/>
    <w:rsid w:val="00DD1446"/>
    <w:rsid w:val="00DD52C5"/>
    <w:rsid w:val="00DD7317"/>
    <w:rsid w:val="00DE0CBD"/>
    <w:rsid w:val="00DE46B0"/>
    <w:rsid w:val="00DE510B"/>
    <w:rsid w:val="00DE6F39"/>
    <w:rsid w:val="00DE7DE5"/>
    <w:rsid w:val="00DF141F"/>
    <w:rsid w:val="00DF1A29"/>
    <w:rsid w:val="00DF210B"/>
    <w:rsid w:val="00DF252E"/>
    <w:rsid w:val="00DF2C4D"/>
    <w:rsid w:val="00DF2F8C"/>
    <w:rsid w:val="00DF3BFE"/>
    <w:rsid w:val="00DF5955"/>
    <w:rsid w:val="00E000FB"/>
    <w:rsid w:val="00E031D1"/>
    <w:rsid w:val="00E034C1"/>
    <w:rsid w:val="00E11060"/>
    <w:rsid w:val="00E126BA"/>
    <w:rsid w:val="00E1610A"/>
    <w:rsid w:val="00E16807"/>
    <w:rsid w:val="00E16D09"/>
    <w:rsid w:val="00E17B6D"/>
    <w:rsid w:val="00E208E0"/>
    <w:rsid w:val="00E20E79"/>
    <w:rsid w:val="00E2282E"/>
    <w:rsid w:val="00E22C65"/>
    <w:rsid w:val="00E240CD"/>
    <w:rsid w:val="00E25FD1"/>
    <w:rsid w:val="00E30078"/>
    <w:rsid w:val="00E33D55"/>
    <w:rsid w:val="00E3580A"/>
    <w:rsid w:val="00E35959"/>
    <w:rsid w:val="00E3608E"/>
    <w:rsid w:val="00E3676A"/>
    <w:rsid w:val="00E374BF"/>
    <w:rsid w:val="00E405F9"/>
    <w:rsid w:val="00E414D3"/>
    <w:rsid w:val="00E45F86"/>
    <w:rsid w:val="00E47411"/>
    <w:rsid w:val="00E477BB"/>
    <w:rsid w:val="00E509DE"/>
    <w:rsid w:val="00E512F5"/>
    <w:rsid w:val="00E5432C"/>
    <w:rsid w:val="00E568C2"/>
    <w:rsid w:val="00E61F85"/>
    <w:rsid w:val="00E6215E"/>
    <w:rsid w:val="00E7082B"/>
    <w:rsid w:val="00E713AD"/>
    <w:rsid w:val="00E71679"/>
    <w:rsid w:val="00E72659"/>
    <w:rsid w:val="00E741CA"/>
    <w:rsid w:val="00E75591"/>
    <w:rsid w:val="00E75647"/>
    <w:rsid w:val="00E75EEC"/>
    <w:rsid w:val="00E81E8B"/>
    <w:rsid w:val="00E835B9"/>
    <w:rsid w:val="00E855BB"/>
    <w:rsid w:val="00E87971"/>
    <w:rsid w:val="00EA02EE"/>
    <w:rsid w:val="00EA035F"/>
    <w:rsid w:val="00EA072B"/>
    <w:rsid w:val="00EA0A8D"/>
    <w:rsid w:val="00EA0EF4"/>
    <w:rsid w:val="00EA30F6"/>
    <w:rsid w:val="00EA5F4E"/>
    <w:rsid w:val="00EA718E"/>
    <w:rsid w:val="00EB1634"/>
    <w:rsid w:val="00EB3C05"/>
    <w:rsid w:val="00EB6C29"/>
    <w:rsid w:val="00EB7BBD"/>
    <w:rsid w:val="00EC1C6E"/>
    <w:rsid w:val="00EC3EBB"/>
    <w:rsid w:val="00EC5217"/>
    <w:rsid w:val="00EC5DE9"/>
    <w:rsid w:val="00EC7652"/>
    <w:rsid w:val="00ED0393"/>
    <w:rsid w:val="00ED055C"/>
    <w:rsid w:val="00ED38CE"/>
    <w:rsid w:val="00ED3A83"/>
    <w:rsid w:val="00ED54B7"/>
    <w:rsid w:val="00ED74A0"/>
    <w:rsid w:val="00ED78BA"/>
    <w:rsid w:val="00EE170B"/>
    <w:rsid w:val="00EE1E6C"/>
    <w:rsid w:val="00EE231A"/>
    <w:rsid w:val="00EE5279"/>
    <w:rsid w:val="00EE55C5"/>
    <w:rsid w:val="00EE6E85"/>
    <w:rsid w:val="00EF098F"/>
    <w:rsid w:val="00EF6EDF"/>
    <w:rsid w:val="00F07DE4"/>
    <w:rsid w:val="00F10FA2"/>
    <w:rsid w:val="00F124DC"/>
    <w:rsid w:val="00F12F7C"/>
    <w:rsid w:val="00F16A6C"/>
    <w:rsid w:val="00F2492F"/>
    <w:rsid w:val="00F25157"/>
    <w:rsid w:val="00F25A3F"/>
    <w:rsid w:val="00F271B6"/>
    <w:rsid w:val="00F30272"/>
    <w:rsid w:val="00F30313"/>
    <w:rsid w:val="00F32639"/>
    <w:rsid w:val="00F36334"/>
    <w:rsid w:val="00F40149"/>
    <w:rsid w:val="00F40532"/>
    <w:rsid w:val="00F41511"/>
    <w:rsid w:val="00F43A20"/>
    <w:rsid w:val="00F440A3"/>
    <w:rsid w:val="00F44DD4"/>
    <w:rsid w:val="00F45261"/>
    <w:rsid w:val="00F478AF"/>
    <w:rsid w:val="00F5061F"/>
    <w:rsid w:val="00F50705"/>
    <w:rsid w:val="00F523B3"/>
    <w:rsid w:val="00F526DC"/>
    <w:rsid w:val="00F52B36"/>
    <w:rsid w:val="00F545B0"/>
    <w:rsid w:val="00F564A0"/>
    <w:rsid w:val="00F56B9D"/>
    <w:rsid w:val="00F61466"/>
    <w:rsid w:val="00F61FDE"/>
    <w:rsid w:val="00F62B07"/>
    <w:rsid w:val="00F63ED1"/>
    <w:rsid w:val="00F63F9C"/>
    <w:rsid w:val="00F64D9D"/>
    <w:rsid w:val="00F6554A"/>
    <w:rsid w:val="00F66017"/>
    <w:rsid w:val="00F67864"/>
    <w:rsid w:val="00F70829"/>
    <w:rsid w:val="00F70863"/>
    <w:rsid w:val="00F762A4"/>
    <w:rsid w:val="00F7706C"/>
    <w:rsid w:val="00F7727F"/>
    <w:rsid w:val="00F803C0"/>
    <w:rsid w:val="00F80A09"/>
    <w:rsid w:val="00F81C89"/>
    <w:rsid w:val="00F83179"/>
    <w:rsid w:val="00F84F74"/>
    <w:rsid w:val="00F864A7"/>
    <w:rsid w:val="00F902F7"/>
    <w:rsid w:val="00F903AD"/>
    <w:rsid w:val="00F94DC8"/>
    <w:rsid w:val="00F968AA"/>
    <w:rsid w:val="00FA11A2"/>
    <w:rsid w:val="00FA1FFD"/>
    <w:rsid w:val="00FA3F01"/>
    <w:rsid w:val="00FA58A0"/>
    <w:rsid w:val="00FB26A8"/>
    <w:rsid w:val="00FB2EE1"/>
    <w:rsid w:val="00FB33BE"/>
    <w:rsid w:val="00FB67D4"/>
    <w:rsid w:val="00FB7508"/>
    <w:rsid w:val="00FC009C"/>
    <w:rsid w:val="00FC5C07"/>
    <w:rsid w:val="00FC7F0A"/>
    <w:rsid w:val="00FD094C"/>
    <w:rsid w:val="00FD0B9F"/>
    <w:rsid w:val="00FD155A"/>
    <w:rsid w:val="00FD3A29"/>
    <w:rsid w:val="00FE1E56"/>
    <w:rsid w:val="00FE2802"/>
    <w:rsid w:val="00FE40A0"/>
    <w:rsid w:val="00FE5121"/>
    <w:rsid w:val="00FE521D"/>
    <w:rsid w:val="00FE5F52"/>
    <w:rsid w:val="00FE65E6"/>
    <w:rsid w:val="00FE7811"/>
    <w:rsid w:val="00FE7BFC"/>
    <w:rsid w:val="00FF22EE"/>
    <w:rsid w:val="00FF25C3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212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12120"/>
    <w:pPr>
      <w:spacing w:before="100" w:beforeAutospacing="1" w:after="100" w:afterAutospacing="1"/>
    </w:pPr>
  </w:style>
  <w:style w:type="character" w:customStyle="1" w:styleId="ressmall">
    <w:name w:val="ressmall"/>
    <w:basedOn w:val="a0"/>
    <w:rsid w:val="00612120"/>
    <w:rPr>
      <w:rFonts w:cs="Times New Roman"/>
    </w:rPr>
  </w:style>
  <w:style w:type="paragraph" w:styleId="a4">
    <w:name w:val="List Paragraph"/>
    <w:basedOn w:val="a"/>
    <w:uiPriority w:val="34"/>
    <w:qFormat/>
    <w:rsid w:val="006121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B2B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2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2B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2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5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50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5120C4"/>
    <w:rPr>
      <w:rFonts w:ascii="Times New Roman" w:hAnsi="Times New Roman" w:cs="Times New Roman" w:hint="default"/>
      <w:color w:val="000000"/>
      <w:sz w:val="28"/>
      <w:u w:val="single"/>
      <w:vertAlign w:val="baseline"/>
    </w:rPr>
  </w:style>
  <w:style w:type="paragraph" w:customStyle="1" w:styleId="ConsPlusNormal">
    <w:name w:val="ConsPlusNormal"/>
    <w:rsid w:val="004B7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212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12120"/>
    <w:pPr>
      <w:spacing w:before="100" w:beforeAutospacing="1" w:after="100" w:afterAutospacing="1"/>
    </w:pPr>
  </w:style>
  <w:style w:type="character" w:customStyle="1" w:styleId="ressmall">
    <w:name w:val="ressmall"/>
    <w:basedOn w:val="a0"/>
    <w:rsid w:val="00612120"/>
    <w:rPr>
      <w:rFonts w:cs="Times New Roman"/>
    </w:rPr>
  </w:style>
  <w:style w:type="paragraph" w:styleId="a4">
    <w:name w:val="List Paragraph"/>
    <w:basedOn w:val="a"/>
    <w:uiPriority w:val="34"/>
    <w:qFormat/>
    <w:rsid w:val="006121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B2B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2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2B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2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5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kon@tpp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86F2-270B-4CBA-B89F-0AF45772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9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Д.Е. (291)</dc:creator>
  <cp:lastModifiedBy>Кудрявцева Е.С. (237)</cp:lastModifiedBy>
  <cp:revision>118</cp:revision>
  <cp:lastPrinted>2014-07-08T10:47:00Z</cp:lastPrinted>
  <dcterms:created xsi:type="dcterms:W3CDTF">2014-03-03T13:35:00Z</dcterms:created>
  <dcterms:modified xsi:type="dcterms:W3CDTF">2014-07-15T06:18:00Z</dcterms:modified>
</cp:coreProperties>
</file>